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08FB" w14:textId="24D90B4C" w:rsidR="005507BC" w:rsidRPr="00664CC7" w:rsidRDefault="005507BC" w:rsidP="005507BC">
      <w:pPr>
        <w:autoSpaceDE w:val="0"/>
        <w:autoSpaceDN w:val="0"/>
        <w:adjustRightInd w:val="0"/>
        <w:rPr>
          <w:rFonts w:eastAsia="SimSun"/>
          <w:b/>
          <w:color w:val="000000"/>
          <w:lang w:val="en-CA" w:eastAsia="zh-CN"/>
        </w:rPr>
      </w:pPr>
      <w:r w:rsidRPr="00664CC7">
        <w:rPr>
          <w:rFonts w:eastAsia="SimSun"/>
          <w:b/>
          <w:color w:val="000000"/>
          <w:lang w:val="en-CA" w:eastAsia="zh-CN"/>
        </w:rPr>
        <w:t xml:space="preserve">PROJECT COVER SHEET: TRANCHE REQUEST </w:t>
      </w:r>
      <w:r w:rsidRPr="00664CC7">
        <w:rPr>
          <w:b/>
          <w:color w:val="000000"/>
          <w:lang w:val="en-CA"/>
        </w:rPr>
        <w:t>STAGE I</w:t>
      </w:r>
      <w:r>
        <w:rPr>
          <w:b/>
          <w:color w:val="000000"/>
          <w:lang w:val="en-CA"/>
        </w:rPr>
        <w:t>I</w:t>
      </w:r>
      <w:r w:rsidRPr="00664CC7">
        <w:rPr>
          <w:b/>
          <w:color w:val="000000"/>
          <w:lang w:val="en-CA"/>
        </w:rPr>
        <w:t xml:space="preserve"> TRANCHE </w:t>
      </w:r>
      <w:r>
        <w:rPr>
          <w:b/>
          <w:color w:val="000000"/>
          <w:lang w:val="en-CA"/>
        </w:rPr>
        <w:t>2</w:t>
      </w:r>
    </w:p>
    <w:p w14:paraId="37C39775" w14:textId="77777777" w:rsidR="005507BC" w:rsidRPr="00664CC7" w:rsidRDefault="005507BC" w:rsidP="00664CC7">
      <w:pPr>
        <w:autoSpaceDE w:val="0"/>
        <w:autoSpaceDN w:val="0"/>
        <w:adjustRightInd w:val="0"/>
        <w:rPr>
          <w:rFonts w:eastAsia="SimSun"/>
          <w:color w:val="000000"/>
          <w:lang w:val="en-CA"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894"/>
      </w:tblGrid>
      <w:tr w:rsidR="000C6B52" w:rsidRPr="00664CC7" w14:paraId="4FA09047" w14:textId="77777777" w:rsidTr="006F5B2C">
        <w:tc>
          <w:tcPr>
            <w:tcW w:w="2383" w:type="pct"/>
            <w:shd w:val="clear" w:color="auto" w:fill="D9D9D9"/>
            <w:tcMar>
              <w:left w:w="115" w:type="dxa"/>
              <w:right w:w="0" w:type="dxa"/>
            </w:tcMar>
            <w:vAlign w:val="center"/>
          </w:tcPr>
          <w:p w14:paraId="4C3EF994" w14:textId="77777777" w:rsidR="000C6B52" w:rsidRPr="00664CC7" w:rsidRDefault="000C6B52" w:rsidP="00664CC7">
            <w:pPr>
              <w:rPr>
                <w:b/>
                <w:color w:val="000000"/>
                <w:lang w:val="en-CA"/>
              </w:rPr>
            </w:pPr>
            <w:r w:rsidRPr="00664CC7">
              <w:rPr>
                <w:b/>
                <w:color w:val="000000"/>
                <w:lang w:val="en-CA"/>
              </w:rPr>
              <w:t>COUNTRY NAME</w:t>
            </w:r>
          </w:p>
        </w:tc>
        <w:tc>
          <w:tcPr>
            <w:tcW w:w="2617" w:type="pct"/>
            <w:vAlign w:val="center"/>
          </w:tcPr>
          <w:p w14:paraId="26F9939C" w14:textId="73F5079D" w:rsidR="000C6B52" w:rsidRPr="00664CC7" w:rsidRDefault="005507BC" w:rsidP="00664CC7">
            <w:pPr>
              <w:rPr>
                <w:bCs/>
                <w:color w:val="000000"/>
                <w:lang w:val="en-CA"/>
              </w:rPr>
            </w:pPr>
            <w:r>
              <w:rPr>
                <w:bCs/>
                <w:color w:val="000000"/>
                <w:lang w:val="en-CA"/>
              </w:rPr>
              <w:t>Georgia</w:t>
            </w:r>
          </w:p>
        </w:tc>
      </w:tr>
      <w:tr w:rsidR="00DD05C9" w:rsidRPr="00664CC7" w14:paraId="2EE7AC86" w14:textId="77777777" w:rsidTr="006F5B2C">
        <w:tc>
          <w:tcPr>
            <w:tcW w:w="2383" w:type="pct"/>
            <w:shd w:val="clear" w:color="auto" w:fill="D9D9D9"/>
            <w:tcMar>
              <w:left w:w="115" w:type="dxa"/>
              <w:right w:w="0" w:type="dxa"/>
            </w:tcMar>
            <w:vAlign w:val="center"/>
          </w:tcPr>
          <w:p w14:paraId="5DCBCE01" w14:textId="77777777" w:rsidR="00DD05C9" w:rsidRPr="00664CC7" w:rsidRDefault="00DD05C9" w:rsidP="00664CC7">
            <w:pPr>
              <w:rPr>
                <w:b/>
                <w:color w:val="000000"/>
                <w:lang w:val="en-CA"/>
              </w:rPr>
            </w:pPr>
            <w:r w:rsidRPr="00664CC7">
              <w:rPr>
                <w:b/>
                <w:color w:val="000000"/>
                <w:lang w:val="en-CA"/>
              </w:rPr>
              <w:t>LEAD IMPLEMENTING AGENCY</w:t>
            </w:r>
          </w:p>
        </w:tc>
        <w:tc>
          <w:tcPr>
            <w:tcW w:w="2617" w:type="pct"/>
            <w:vAlign w:val="center"/>
          </w:tcPr>
          <w:p w14:paraId="6EAAF0E0" w14:textId="76C2CE27" w:rsidR="00DD05C9" w:rsidRPr="00664CC7" w:rsidRDefault="008B3448" w:rsidP="00664CC7">
            <w:pPr>
              <w:rPr>
                <w:bCs/>
                <w:color w:val="000000"/>
                <w:lang w:val="en-CA"/>
              </w:rPr>
            </w:pPr>
            <w:r>
              <w:rPr>
                <w:bCs/>
                <w:color w:val="000000"/>
              </w:rPr>
              <w:t>UNDP</w:t>
            </w:r>
          </w:p>
        </w:tc>
      </w:tr>
      <w:tr w:rsidR="00DD05C9" w:rsidRPr="00664CC7" w14:paraId="0AB46E4C" w14:textId="77777777" w:rsidTr="006F5B2C">
        <w:tc>
          <w:tcPr>
            <w:tcW w:w="2383" w:type="pct"/>
            <w:shd w:val="clear" w:color="auto" w:fill="D9D9D9"/>
            <w:tcMar>
              <w:left w:w="115" w:type="dxa"/>
              <w:right w:w="0" w:type="dxa"/>
            </w:tcMar>
            <w:vAlign w:val="center"/>
          </w:tcPr>
          <w:p w14:paraId="08D260EE" w14:textId="77777777" w:rsidR="00DD05C9" w:rsidRPr="00664CC7" w:rsidRDefault="00DD05C9" w:rsidP="00A87431">
            <w:pPr>
              <w:jc w:val="left"/>
              <w:rPr>
                <w:b/>
                <w:color w:val="000000"/>
                <w:lang w:val="en-CA"/>
              </w:rPr>
            </w:pPr>
            <w:r w:rsidRPr="00664CC7">
              <w:rPr>
                <w:b/>
                <w:color w:val="000000"/>
                <w:lang w:val="en-CA"/>
              </w:rPr>
              <w:t>COOPERATING IMPLEMENTING AGENCY</w:t>
            </w:r>
          </w:p>
        </w:tc>
        <w:tc>
          <w:tcPr>
            <w:tcW w:w="2617" w:type="pct"/>
            <w:vAlign w:val="center"/>
          </w:tcPr>
          <w:p w14:paraId="09DD528C" w14:textId="63456AA1" w:rsidR="00DD05C9" w:rsidRPr="00664CC7" w:rsidRDefault="005507BC" w:rsidP="00664CC7">
            <w:pPr>
              <w:rPr>
                <w:bCs/>
                <w:color w:val="000000"/>
                <w:lang w:val="en-CA"/>
              </w:rPr>
            </w:pPr>
            <w:proofErr w:type="spellStart"/>
            <w:r>
              <w:rPr>
                <w:bCs/>
                <w:color w:val="000000"/>
              </w:rPr>
              <w:t>MoEPA</w:t>
            </w:r>
            <w:proofErr w:type="spellEnd"/>
          </w:p>
        </w:tc>
      </w:tr>
    </w:tbl>
    <w:p w14:paraId="46F81E3E" w14:textId="77777777" w:rsidR="000C6B52" w:rsidRPr="00664CC7" w:rsidRDefault="000C6B52" w:rsidP="00664CC7">
      <w:pPr>
        <w:tabs>
          <w:tab w:val="left" w:pos="3600"/>
          <w:tab w:val="right" w:leader="underscore" w:pos="7344"/>
          <w:tab w:val="right" w:leader="underscore" w:pos="9360"/>
        </w:tabs>
        <w:rPr>
          <w:b/>
          <w:color w:val="000000"/>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4686"/>
        <w:gridCol w:w="4664"/>
      </w:tblGrid>
      <w:tr w:rsidR="00C22551" w:rsidRPr="00664CC7" w14:paraId="47A46B77" w14:textId="77777777" w:rsidTr="006F5B2C">
        <w:tc>
          <w:tcPr>
            <w:tcW w:w="2506" w:type="pct"/>
            <w:shd w:val="pct15" w:color="auto" w:fill="auto"/>
          </w:tcPr>
          <w:p w14:paraId="37AD190D" w14:textId="77777777" w:rsidR="00C22551" w:rsidRPr="00664CC7" w:rsidRDefault="00C22551" w:rsidP="00664CC7">
            <w:pPr>
              <w:autoSpaceDE w:val="0"/>
              <w:autoSpaceDN w:val="0"/>
              <w:adjustRightInd w:val="0"/>
              <w:rPr>
                <w:b/>
                <w:color w:val="000000"/>
                <w:lang w:val="en-CA"/>
              </w:rPr>
            </w:pPr>
            <w:r w:rsidRPr="00664CC7">
              <w:rPr>
                <w:b/>
                <w:color w:val="000000"/>
                <w:lang w:val="en-CA"/>
              </w:rPr>
              <w:br w:type="page"/>
              <w:t>Tranche implementation period</w:t>
            </w:r>
          </w:p>
        </w:tc>
        <w:tc>
          <w:tcPr>
            <w:tcW w:w="2494" w:type="pct"/>
            <w:shd w:val="pct15" w:color="auto" w:fill="auto"/>
          </w:tcPr>
          <w:p w14:paraId="06A6CA1D" w14:textId="46563894" w:rsidR="00C22551" w:rsidRPr="00043FE8" w:rsidRDefault="003C02E1" w:rsidP="00664CC7">
            <w:pPr>
              <w:autoSpaceDE w:val="0"/>
              <w:autoSpaceDN w:val="0"/>
              <w:adjustRightInd w:val="0"/>
              <w:rPr>
                <w:bCs/>
                <w:lang w:val="en-CA"/>
              </w:rPr>
            </w:pPr>
            <w:r w:rsidRPr="00043FE8">
              <w:rPr>
                <w:bCs/>
                <w:lang w:val="en-CA"/>
              </w:rPr>
              <w:t>202</w:t>
            </w:r>
            <w:r w:rsidR="005507BC">
              <w:rPr>
                <w:bCs/>
                <w:lang w:val="en-CA"/>
              </w:rPr>
              <w:t>2</w:t>
            </w:r>
            <w:r w:rsidR="00BF09F5" w:rsidRPr="00043FE8">
              <w:rPr>
                <w:bCs/>
                <w:lang w:val="en-CA"/>
              </w:rPr>
              <w:t>-202</w:t>
            </w:r>
            <w:r w:rsidR="005507BC">
              <w:rPr>
                <w:bCs/>
                <w:lang w:val="en-CA"/>
              </w:rPr>
              <w:t>4</w:t>
            </w:r>
          </w:p>
        </w:tc>
      </w:tr>
      <w:tr w:rsidR="007E73F4" w:rsidRPr="00664CC7" w14:paraId="12AC12C5" w14:textId="77777777" w:rsidTr="00043FE8">
        <w:trPr>
          <w:trHeight w:val="143"/>
        </w:trPr>
        <w:tc>
          <w:tcPr>
            <w:tcW w:w="2506" w:type="pct"/>
            <w:shd w:val="pct15" w:color="auto" w:fill="auto"/>
          </w:tcPr>
          <w:p w14:paraId="09BB7F2A" w14:textId="77777777" w:rsidR="007E73F4" w:rsidRPr="00664CC7" w:rsidRDefault="007E73F4" w:rsidP="00664CC7">
            <w:pPr>
              <w:autoSpaceDE w:val="0"/>
              <w:autoSpaceDN w:val="0"/>
              <w:adjustRightInd w:val="0"/>
              <w:rPr>
                <w:b/>
                <w:color w:val="000000"/>
                <w:lang w:val="en-CA"/>
              </w:rPr>
            </w:pPr>
            <w:r w:rsidRPr="00664CC7">
              <w:rPr>
                <w:b/>
                <w:color w:val="000000"/>
                <w:lang w:val="en-CA"/>
              </w:rPr>
              <w:t>Tranche completion date</w:t>
            </w:r>
          </w:p>
        </w:tc>
        <w:tc>
          <w:tcPr>
            <w:tcW w:w="2494" w:type="pct"/>
            <w:shd w:val="pct15" w:color="auto" w:fill="auto"/>
          </w:tcPr>
          <w:p w14:paraId="790A13F2" w14:textId="064391CC" w:rsidR="007E73F4" w:rsidRPr="00043FE8" w:rsidRDefault="00BF09F5" w:rsidP="00664CC7">
            <w:pPr>
              <w:autoSpaceDE w:val="0"/>
              <w:autoSpaceDN w:val="0"/>
              <w:adjustRightInd w:val="0"/>
              <w:rPr>
                <w:lang w:val="en-US"/>
              </w:rPr>
            </w:pPr>
            <w:r w:rsidRPr="00043FE8">
              <w:rPr>
                <w:lang w:val="en-CA"/>
              </w:rPr>
              <w:t>31 December 202</w:t>
            </w:r>
            <w:r w:rsidR="005507BC">
              <w:rPr>
                <w:lang w:val="en-CA"/>
              </w:rPr>
              <w:t>4</w:t>
            </w:r>
          </w:p>
        </w:tc>
      </w:tr>
    </w:tbl>
    <w:p w14:paraId="6E58B9C0" w14:textId="77777777" w:rsidR="00C22551" w:rsidRPr="00664CC7" w:rsidRDefault="00C22551" w:rsidP="00664CC7">
      <w:pPr>
        <w:autoSpaceDE w:val="0"/>
        <w:autoSpaceDN w:val="0"/>
        <w:adjustRightInd w:val="0"/>
        <w:rPr>
          <w:b/>
          <w:color w:val="000000"/>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802"/>
        <w:gridCol w:w="4898"/>
      </w:tblGrid>
      <w:tr w:rsidR="000C6B52" w:rsidRPr="00664CC7" w14:paraId="539E8538" w14:textId="77777777" w:rsidTr="006F5B2C">
        <w:tc>
          <w:tcPr>
            <w:tcW w:w="5000" w:type="pct"/>
            <w:gridSpan w:val="3"/>
            <w:shd w:val="clear" w:color="auto" w:fill="D9D9D9"/>
            <w:tcMar>
              <w:left w:w="115" w:type="dxa"/>
              <w:right w:w="0" w:type="dxa"/>
            </w:tcMar>
            <w:vAlign w:val="center"/>
          </w:tcPr>
          <w:p w14:paraId="5CDADEB4" w14:textId="77777777" w:rsidR="000C6B52" w:rsidRPr="00664CC7" w:rsidRDefault="000C6B52" w:rsidP="00664CC7">
            <w:pPr>
              <w:rPr>
                <w:b/>
                <w:color w:val="000000"/>
                <w:lang w:val="en-CA"/>
              </w:rPr>
            </w:pPr>
            <w:r w:rsidRPr="00664CC7">
              <w:rPr>
                <w:b/>
                <w:color w:val="000000"/>
                <w:lang w:val="en-CA"/>
              </w:rPr>
              <w:t>SUBMISSION OF COMPLETE DOCUMENTATION</w:t>
            </w:r>
          </w:p>
        </w:tc>
      </w:tr>
      <w:tr w:rsidR="006F5B2C" w:rsidRPr="00664CC7" w14:paraId="18E29FE9" w14:textId="77777777" w:rsidTr="00B60453">
        <w:tc>
          <w:tcPr>
            <w:tcW w:w="1952" w:type="pct"/>
            <w:shd w:val="clear" w:color="auto" w:fill="D9D9D9"/>
            <w:tcMar>
              <w:left w:w="115" w:type="dxa"/>
              <w:right w:w="0" w:type="dxa"/>
            </w:tcMar>
            <w:vAlign w:val="center"/>
            <w:hideMark/>
          </w:tcPr>
          <w:p w14:paraId="0369896B" w14:textId="77777777" w:rsidR="000C6B52" w:rsidRPr="00664CC7" w:rsidRDefault="000C6B52" w:rsidP="00664CC7">
            <w:pPr>
              <w:rPr>
                <w:b/>
                <w:color w:val="000000"/>
                <w:lang w:val="en-CA"/>
              </w:rPr>
            </w:pPr>
            <w:r w:rsidRPr="00664CC7">
              <w:rPr>
                <w:b/>
                <w:color w:val="000000"/>
                <w:lang w:val="en-CA"/>
              </w:rPr>
              <w:t>Document</w:t>
            </w:r>
          </w:p>
        </w:tc>
        <w:tc>
          <w:tcPr>
            <w:tcW w:w="429" w:type="pct"/>
            <w:shd w:val="clear" w:color="auto" w:fill="D9D9D9"/>
            <w:tcMar>
              <w:left w:w="115" w:type="dxa"/>
              <w:right w:w="0" w:type="dxa"/>
            </w:tcMar>
            <w:hideMark/>
          </w:tcPr>
          <w:p w14:paraId="02C979B5" w14:textId="77777777" w:rsidR="000C6B52" w:rsidRPr="00664CC7" w:rsidRDefault="000C6B52" w:rsidP="00664CC7">
            <w:pPr>
              <w:jc w:val="left"/>
              <w:rPr>
                <w:b/>
                <w:color w:val="000000"/>
                <w:lang w:val="en-CA"/>
              </w:rPr>
            </w:pPr>
            <w:r w:rsidRPr="00664CC7">
              <w:rPr>
                <w:b/>
                <w:color w:val="000000"/>
                <w:lang w:val="en-CA"/>
              </w:rPr>
              <w:t>Yes/No</w:t>
            </w:r>
          </w:p>
        </w:tc>
        <w:tc>
          <w:tcPr>
            <w:tcW w:w="2619" w:type="pct"/>
            <w:shd w:val="clear" w:color="auto" w:fill="D9D9D9"/>
            <w:tcMar>
              <w:left w:w="115" w:type="dxa"/>
              <w:right w:w="0" w:type="dxa"/>
            </w:tcMar>
            <w:vAlign w:val="center"/>
            <w:hideMark/>
          </w:tcPr>
          <w:p w14:paraId="064ED233" w14:textId="77777777" w:rsidR="000C6B52" w:rsidRPr="00664CC7" w:rsidRDefault="000C6B52" w:rsidP="00664CC7">
            <w:pPr>
              <w:rPr>
                <w:b/>
                <w:color w:val="000000"/>
                <w:lang w:val="en-CA"/>
              </w:rPr>
            </w:pPr>
            <w:r w:rsidRPr="00664CC7">
              <w:rPr>
                <w:b/>
                <w:color w:val="000000"/>
                <w:lang w:val="en-CA"/>
              </w:rPr>
              <w:t>Comments</w:t>
            </w:r>
          </w:p>
        </w:tc>
      </w:tr>
      <w:tr w:rsidR="000C6B52" w:rsidRPr="00664CC7" w14:paraId="71764B93" w14:textId="77777777" w:rsidTr="006F5B2C">
        <w:tc>
          <w:tcPr>
            <w:tcW w:w="1952" w:type="pct"/>
            <w:shd w:val="clear" w:color="auto" w:fill="D9D9D9"/>
            <w:tcMar>
              <w:left w:w="115" w:type="dxa"/>
            </w:tcMar>
            <w:vAlign w:val="center"/>
            <w:hideMark/>
          </w:tcPr>
          <w:p w14:paraId="491D6CA6" w14:textId="77777777" w:rsidR="000C6B52" w:rsidRPr="00664CC7" w:rsidRDefault="003566C9" w:rsidP="00664CC7">
            <w:pPr>
              <w:rPr>
                <w:b/>
                <w:color w:val="000000"/>
                <w:lang w:val="en-CA"/>
              </w:rPr>
            </w:pPr>
            <w:r w:rsidRPr="00664CC7">
              <w:rPr>
                <w:b/>
                <w:color w:val="000000"/>
                <w:lang w:val="en-CA"/>
              </w:rPr>
              <w:t xml:space="preserve">Tranche implementation report </w:t>
            </w:r>
            <w:r w:rsidR="00D12485" w:rsidRPr="00664CC7">
              <w:rPr>
                <w:b/>
                <w:color w:val="000000"/>
                <w:lang w:val="en-CA"/>
              </w:rPr>
              <w:t xml:space="preserve">for </w:t>
            </w:r>
            <w:r w:rsidR="00DA1B5E" w:rsidRPr="00664CC7">
              <w:rPr>
                <w:b/>
                <w:color w:val="000000"/>
                <w:lang w:val="en-CA"/>
              </w:rPr>
              <w:t>previous tranche</w:t>
            </w:r>
          </w:p>
        </w:tc>
        <w:tc>
          <w:tcPr>
            <w:tcW w:w="429" w:type="pct"/>
            <w:tcMar>
              <w:left w:w="115" w:type="dxa"/>
            </w:tcMar>
            <w:vAlign w:val="center"/>
            <w:hideMark/>
          </w:tcPr>
          <w:p w14:paraId="08DE040C" w14:textId="3048043F" w:rsidR="000C6B52" w:rsidRPr="00664CC7" w:rsidRDefault="005B3991" w:rsidP="00664CC7">
            <w:pPr>
              <w:jc w:val="center"/>
              <w:rPr>
                <w:color w:val="000000"/>
                <w:lang w:val="en-CA"/>
              </w:rPr>
            </w:pPr>
            <w:r w:rsidRPr="00664CC7">
              <w:rPr>
                <w:color w:val="000000"/>
                <w:lang w:val="en-CA"/>
              </w:rPr>
              <w:t>Yes</w:t>
            </w:r>
          </w:p>
        </w:tc>
        <w:tc>
          <w:tcPr>
            <w:tcW w:w="2619" w:type="pct"/>
            <w:tcMar>
              <w:left w:w="115" w:type="dxa"/>
            </w:tcMar>
            <w:vAlign w:val="center"/>
            <w:hideMark/>
          </w:tcPr>
          <w:p w14:paraId="484DF329" w14:textId="77777777" w:rsidR="000C6B52" w:rsidRPr="00664CC7" w:rsidRDefault="000C6B52" w:rsidP="00664CC7">
            <w:pPr>
              <w:rPr>
                <w:color w:val="000000"/>
                <w:lang w:val="en-CA"/>
              </w:rPr>
            </w:pPr>
          </w:p>
        </w:tc>
      </w:tr>
      <w:tr w:rsidR="000C6B52" w:rsidRPr="00664CC7" w14:paraId="12737FF8" w14:textId="77777777" w:rsidTr="006F5B2C">
        <w:tc>
          <w:tcPr>
            <w:tcW w:w="1952" w:type="pct"/>
            <w:shd w:val="clear" w:color="auto" w:fill="D9D9D9"/>
            <w:tcMar>
              <w:left w:w="115" w:type="dxa"/>
              <w:right w:w="0" w:type="dxa"/>
            </w:tcMar>
            <w:vAlign w:val="center"/>
            <w:hideMark/>
          </w:tcPr>
          <w:p w14:paraId="623E44E1" w14:textId="77777777" w:rsidR="000C6B52" w:rsidRPr="00664CC7" w:rsidRDefault="00DA1B5E" w:rsidP="00664CC7">
            <w:pPr>
              <w:rPr>
                <w:b/>
                <w:color w:val="000000"/>
                <w:lang w:val="en-CA"/>
              </w:rPr>
            </w:pPr>
            <w:r w:rsidRPr="00664CC7">
              <w:rPr>
                <w:b/>
                <w:color w:val="000000"/>
                <w:lang w:val="en-CA"/>
              </w:rPr>
              <w:t>Financial report</w:t>
            </w:r>
            <w:r w:rsidR="0005654D" w:rsidRPr="00664CC7">
              <w:rPr>
                <w:b/>
                <w:color w:val="000000"/>
                <w:lang w:val="en-CA"/>
              </w:rPr>
              <w:t xml:space="preserve"> (&gt;20% disbursement</w:t>
            </w:r>
            <w:r w:rsidR="004F570C" w:rsidRPr="00664CC7">
              <w:rPr>
                <w:b/>
                <w:color w:val="000000"/>
                <w:lang w:val="en-CA"/>
              </w:rPr>
              <w:t xml:space="preserve"> from the previously approved tranche</w:t>
            </w:r>
            <w:r w:rsidR="0005654D" w:rsidRPr="00664CC7">
              <w:rPr>
                <w:b/>
                <w:color w:val="000000"/>
                <w:lang w:val="en-CA"/>
              </w:rPr>
              <w:t>)</w:t>
            </w:r>
          </w:p>
        </w:tc>
        <w:tc>
          <w:tcPr>
            <w:tcW w:w="429" w:type="pct"/>
            <w:tcMar>
              <w:left w:w="115" w:type="dxa"/>
            </w:tcMar>
            <w:vAlign w:val="center"/>
            <w:hideMark/>
          </w:tcPr>
          <w:p w14:paraId="09E55CF5" w14:textId="148F6EBD" w:rsidR="000C6B52" w:rsidRPr="00664CC7" w:rsidRDefault="005B3991" w:rsidP="00664CC7">
            <w:pPr>
              <w:jc w:val="center"/>
              <w:rPr>
                <w:color w:val="000000"/>
                <w:lang w:val="en-CA"/>
              </w:rPr>
            </w:pPr>
            <w:r w:rsidRPr="00664CC7">
              <w:rPr>
                <w:color w:val="000000"/>
                <w:lang w:val="en-CA"/>
              </w:rPr>
              <w:t>Yes</w:t>
            </w:r>
          </w:p>
        </w:tc>
        <w:tc>
          <w:tcPr>
            <w:tcW w:w="2619" w:type="pct"/>
            <w:tcMar>
              <w:left w:w="115" w:type="dxa"/>
            </w:tcMar>
            <w:vAlign w:val="center"/>
            <w:hideMark/>
          </w:tcPr>
          <w:p w14:paraId="3F2BE817" w14:textId="77777777" w:rsidR="000C6B52" w:rsidRPr="00664CC7" w:rsidRDefault="000C6B52" w:rsidP="00664CC7">
            <w:pPr>
              <w:rPr>
                <w:color w:val="000000"/>
                <w:lang w:val="en-CA"/>
              </w:rPr>
            </w:pPr>
          </w:p>
        </w:tc>
      </w:tr>
      <w:tr w:rsidR="00A9094B" w:rsidRPr="00664CC7" w14:paraId="02F023C4" w14:textId="77777777" w:rsidTr="006F5B2C">
        <w:tc>
          <w:tcPr>
            <w:tcW w:w="1952" w:type="pct"/>
            <w:shd w:val="clear" w:color="auto" w:fill="D9D9D9"/>
            <w:vAlign w:val="center"/>
          </w:tcPr>
          <w:p w14:paraId="7400F6C0" w14:textId="77777777" w:rsidR="00A9094B" w:rsidRPr="00664CC7" w:rsidRDefault="00A9094B" w:rsidP="00664CC7">
            <w:pPr>
              <w:rPr>
                <w:b/>
                <w:color w:val="000000"/>
                <w:lang w:val="en-CA"/>
              </w:rPr>
            </w:pPr>
            <w:r w:rsidRPr="00664CC7">
              <w:rPr>
                <w:b/>
                <w:color w:val="000000"/>
                <w:lang w:val="en-CA"/>
              </w:rPr>
              <w:t xml:space="preserve">Remarks from annual progress </w:t>
            </w:r>
            <w:proofErr w:type="gramStart"/>
            <w:r w:rsidRPr="00664CC7">
              <w:rPr>
                <w:b/>
                <w:color w:val="000000"/>
                <w:lang w:val="en-CA"/>
              </w:rPr>
              <w:t>and  financial</w:t>
            </w:r>
            <w:proofErr w:type="gramEnd"/>
            <w:r w:rsidRPr="00664CC7">
              <w:rPr>
                <w:b/>
                <w:color w:val="000000"/>
                <w:lang w:val="en-CA"/>
              </w:rPr>
              <w:t xml:space="preserve"> reports, and status report as relevant</w:t>
            </w:r>
          </w:p>
        </w:tc>
        <w:tc>
          <w:tcPr>
            <w:tcW w:w="429" w:type="pct"/>
            <w:vAlign w:val="center"/>
          </w:tcPr>
          <w:p w14:paraId="640723A7" w14:textId="1A24E51B" w:rsidR="00A9094B" w:rsidRPr="00664CC7" w:rsidRDefault="005B3991" w:rsidP="00664CC7">
            <w:pPr>
              <w:jc w:val="center"/>
              <w:rPr>
                <w:color w:val="000000"/>
                <w:lang w:val="en-CA"/>
              </w:rPr>
            </w:pPr>
            <w:r w:rsidRPr="00664CC7">
              <w:rPr>
                <w:color w:val="000000"/>
                <w:lang w:val="en-CA"/>
              </w:rPr>
              <w:t>Yes</w:t>
            </w:r>
          </w:p>
        </w:tc>
        <w:tc>
          <w:tcPr>
            <w:tcW w:w="2619" w:type="pct"/>
            <w:vAlign w:val="center"/>
          </w:tcPr>
          <w:p w14:paraId="00EF99E9" w14:textId="77777777" w:rsidR="00A9094B" w:rsidRPr="00664CC7" w:rsidRDefault="00A9094B" w:rsidP="00664CC7">
            <w:pPr>
              <w:rPr>
                <w:color w:val="000000"/>
                <w:lang w:val="en-CA"/>
              </w:rPr>
            </w:pPr>
          </w:p>
        </w:tc>
      </w:tr>
      <w:tr w:rsidR="000C6B52" w:rsidRPr="00664CC7" w14:paraId="535A8337" w14:textId="77777777" w:rsidTr="006F5B2C">
        <w:tc>
          <w:tcPr>
            <w:tcW w:w="1952" w:type="pct"/>
            <w:shd w:val="clear" w:color="auto" w:fill="D9D9D9"/>
            <w:vAlign w:val="center"/>
            <w:hideMark/>
          </w:tcPr>
          <w:p w14:paraId="5198B872" w14:textId="77777777" w:rsidR="000C6B52" w:rsidRPr="00664CC7" w:rsidRDefault="00DA1B5E" w:rsidP="00664CC7">
            <w:pPr>
              <w:rPr>
                <w:b/>
                <w:color w:val="000000"/>
                <w:lang w:val="en-CA"/>
              </w:rPr>
            </w:pPr>
            <w:r w:rsidRPr="00664CC7">
              <w:rPr>
                <w:b/>
                <w:color w:val="000000"/>
                <w:lang w:val="en-CA"/>
              </w:rPr>
              <w:t>Verification report (where applicable)</w:t>
            </w:r>
          </w:p>
        </w:tc>
        <w:tc>
          <w:tcPr>
            <w:tcW w:w="429" w:type="pct"/>
            <w:vAlign w:val="center"/>
            <w:hideMark/>
          </w:tcPr>
          <w:p w14:paraId="6AE8D320" w14:textId="40549F18" w:rsidR="000C6B52" w:rsidRPr="00664CC7" w:rsidRDefault="005507BC" w:rsidP="00664CC7">
            <w:pPr>
              <w:jc w:val="center"/>
              <w:rPr>
                <w:color w:val="000000"/>
                <w:lang w:val="en-CA"/>
              </w:rPr>
            </w:pPr>
            <w:r>
              <w:rPr>
                <w:color w:val="000000"/>
                <w:lang w:val="en-CA"/>
              </w:rPr>
              <w:t>Yes</w:t>
            </w:r>
          </w:p>
        </w:tc>
        <w:tc>
          <w:tcPr>
            <w:tcW w:w="2619" w:type="pct"/>
            <w:vAlign w:val="center"/>
            <w:hideMark/>
          </w:tcPr>
          <w:p w14:paraId="00F85ED3" w14:textId="77777777" w:rsidR="000C6B52" w:rsidRPr="00664CC7" w:rsidRDefault="000C6B52" w:rsidP="00664CC7">
            <w:pPr>
              <w:rPr>
                <w:color w:val="000000"/>
                <w:lang w:val="en-CA"/>
              </w:rPr>
            </w:pPr>
          </w:p>
        </w:tc>
      </w:tr>
      <w:tr w:rsidR="00DA1B5E" w:rsidRPr="00664CC7" w14:paraId="7D377485" w14:textId="77777777" w:rsidTr="006F5B2C">
        <w:tc>
          <w:tcPr>
            <w:tcW w:w="1952" w:type="pct"/>
            <w:shd w:val="clear" w:color="auto" w:fill="D9D9D9"/>
            <w:vAlign w:val="center"/>
            <w:hideMark/>
          </w:tcPr>
          <w:p w14:paraId="5268C885" w14:textId="77777777" w:rsidR="00DA1B5E" w:rsidRPr="00664CC7" w:rsidRDefault="00AD4DD3" w:rsidP="00664CC7">
            <w:pPr>
              <w:rPr>
                <w:b/>
                <w:color w:val="000000"/>
                <w:lang w:val="en-CA"/>
              </w:rPr>
            </w:pPr>
            <w:r w:rsidRPr="00664CC7">
              <w:rPr>
                <w:b/>
                <w:color w:val="000000"/>
                <w:lang w:val="en-CA"/>
              </w:rPr>
              <w:t>Tranche implementation plan</w:t>
            </w:r>
          </w:p>
        </w:tc>
        <w:tc>
          <w:tcPr>
            <w:tcW w:w="429" w:type="pct"/>
            <w:vAlign w:val="center"/>
            <w:hideMark/>
          </w:tcPr>
          <w:p w14:paraId="18E17F12" w14:textId="5707B843" w:rsidR="00DA1B5E" w:rsidRPr="00664CC7" w:rsidRDefault="005B3991" w:rsidP="00664CC7">
            <w:pPr>
              <w:jc w:val="center"/>
              <w:rPr>
                <w:color w:val="000000"/>
                <w:lang w:val="en-CA"/>
              </w:rPr>
            </w:pPr>
            <w:r w:rsidRPr="00664CC7">
              <w:rPr>
                <w:color w:val="000000"/>
                <w:lang w:val="en-CA"/>
              </w:rPr>
              <w:t>Yes</w:t>
            </w:r>
          </w:p>
        </w:tc>
        <w:tc>
          <w:tcPr>
            <w:tcW w:w="2619" w:type="pct"/>
            <w:vAlign w:val="center"/>
            <w:hideMark/>
          </w:tcPr>
          <w:p w14:paraId="1DD48678" w14:textId="77777777" w:rsidR="00DA1B5E" w:rsidRPr="00664CC7" w:rsidRDefault="00DA1B5E" w:rsidP="00664CC7">
            <w:pPr>
              <w:rPr>
                <w:color w:val="000000"/>
                <w:lang w:val="en-CA"/>
              </w:rPr>
            </w:pPr>
          </w:p>
        </w:tc>
      </w:tr>
      <w:tr w:rsidR="000C6B52" w:rsidRPr="00664CC7" w14:paraId="052744C9" w14:textId="77777777" w:rsidTr="006F5B2C">
        <w:tc>
          <w:tcPr>
            <w:tcW w:w="1952" w:type="pct"/>
            <w:shd w:val="clear" w:color="auto" w:fill="D9D9D9"/>
            <w:vAlign w:val="center"/>
            <w:hideMark/>
          </w:tcPr>
          <w:p w14:paraId="537E04BB" w14:textId="77777777" w:rsidR="000C6B52" w:rsidRPr="00664CC7" w:rsidRDefault="009373C6" w:rsidP="00664CC7">
            <w:pPr>
              <w:rPr>
                <w:b/>
                <w:strike/>
                <w:color w:val="000000"/>
                <w:lang w:val="en-CA"/>
              </w:rPr>
            </w:pPr>
            <w:r w:rsidRPr="00664CC7">
              <w:rPr>
                <w:b/>
                <w:color w:val="000000"/>
                <w:lang w:val="en-CA"/>
              </w:rPr>
              <w:t>Inventory of enterprises database, where applicable</w:t>
            </w:r>
          </w:p>
        </w:tc>
        <w:tc>
          <w:tcPr>
            <w:tcW w:w="429" w:type="pct"/>
            <w:vAlign w:val="center"/>
            <w:hideMark/>
          </w:tcPr>
          <w:p w14:paraId="248861DC" w14:textId="5AB0948A" w:rsidR="000C6B52" w:rsidRPr="00664CC7" w:rsidRDefault="005B3991" w:rsidP="00664CC7">
            <w:pPr>
              <w:rPr>
                <w:color w:val="000000"/>
                <w:lang w:val="en-CA"/>
              </w:rPr>
            </w:pPr>
            <w:r w:rsidRPr="00664CC7">
              <w:rPr>
                <w:color w:val="000000"/>
                <w:lang w:val="en-CA"/>
              </w:rPr>
              <w:t xml:space="preserve">  N/A</w:t>
            </w:r>
          </w:p>
        </w:tc>
        <w:tc>
          <w:tcPr>
            <w:tcW w:w="2619" w:type="pct"/>
            <w:vAlign w:val="center"/>
            <w:hideMark/>
          </w:tcPr>
          <w:p w14:paraId="1F1F0C4A" w14:textId="77777777" w:rsidR="000C6B52" w:rsidRPr="00664CC7" w:rsidRDefault="000C6B52" w:rsidP="00664CC7">
            <w:pPr>
              <w:rPr>
                <w:color w:val="000000"/>
                <w:lang w:val="en-CA"/>
              </w:rPr>
            </w:pPr>
          </w:p>
        </w:tc>
      </w:tr>
      <w:tr w:rsidR="00BA1758" w:rsidRPr="00664CC7" w14:paraId="324F339F" w14:textId="77777777" w:rsidTr="0032197C">
        <w:trPr>
          <w:trHeight w:val="278"/>
        </w:trPr>
        <w:tc>
          <w:tcPr>
            <w:tcW w:w="1952" w:type="pct"/>
            <w:tcBorders>
              <w:bottom w:val="single" w:sz="4" w:space="0" w:color="auto"/>
            </w:tcBorders>
            <w:shd w:val="clear" w:color="auto" w:fill="D9D9D9"/>
            <w:vAlign w:val="center"/>
            <w:hideMark/>
          </w:tcPr>
          <w:p w14:paraId="4E867496" w14:textId="77777777" w:rsidR="00BA1758" w:rsidRPr="00664CC7" w:rsidRDefault="00BA1758" w:rsidP="00664CC7">
            <w:pPr>
              <w:rPr>
                <w:b/>
                <w:color w:val="000000"/>
                <w:lang w:val="en-CA"/>
              </w:rPr>
            </w:pPr>
            <w:r w:rsidRPr="00664CC7">
              <w:rPr>
                <w:b/>
                <w:color w:val="000000"/>
                <w:lang w:val="en-CA"/>
              </w:rPr>
              <w:t>Official endorsement letter</w:t>
            </w:r>
          </w:p>
        </w:tc>
        <w:tc>
          <w:tcPr>
            <w:tcW w:w="429" w:type="pct"/>
            <w:vAlign w:val="center"/>
            <w:hideMark/>
          </w:tcPr>
          <w:p w14:paraId="173386B8" w14:textId="5AE8DD0D" w:rsidR="00BA1758" w:rsidRPr="00664CC7" w:rsidRDefault="005B3991" w:rsidP="00664CC7">
            <w:pPr>
              <w:jc w:val="center"/>
              <w:rPr>
                <w:color w:val="000000"/>
                <w:lang w:val="en-CA"/>
              </w:rPr>
            </w:pPr>
            <w:r w:rsidRPr="00664CC7">
              <w:rPr>
                <w:color w:val="000000"/>
                <w:lang w:val="en-CA"/>
              </w:rPr>
              <w:t>Yes</w:t>
            </w:r>
          </w:p>
        </w:tc>
        <w:tc>
          <w:tcPr>
            <w:tcW w:w="2619" w:type="pct"/>
            <w:vAlign w:val="center"/>
            <w:hideMark/>
          </w:tcPr>
          <w:p w14:paraId="2EC40DB9" w14:textId="77777777" w:rsidR="00BA1758" w:rsidRPr="00664CC7" w:rsidRDefault="00BA1758" w:rsidP="00664CC7">
            <w:pPr>
              <w:rPr>
                <w:color w:val="000000"/>
                <w:lang w:val="en-CA"/>
              </w:rPr>
            </w:pPr>
          </w:p>
        </w:tc>
      </w:tr>
      <w:tr w:rsidR="006D5BC5" w:rsidRPr="00664CC7" w14:paraId="5157F65A" w14:textId="77777777" w:rsidTr="0032197C">
        <w:tc>
          <w:tcPr>
            <w:tcW w:w="1952" w:type="pct"/>
            <w:tcBorders>
              <w:top w:val="single" w:sz="4" w:space="0" w:color="auto"/>
              <w:bottom w:val="single" w:sz="4" w:space="0" w:color="auto"/>
            </w:tcBorders>
            <w:shd w:val="clear" w:color="auto" w:fill="D9D9D9"/>
            <w:vAlign w:val="center"/>
            <w:hideMark/>
          </w:tcPr>
          <w:p w14:paraId="237C2432" w14:textId="77777777" w:rsidR="006D5BC5" w:rsidRPr="00664CC7" w:rsidRDefault="006D5BC5" w:rsidP="00664CC7">
            <w:pPr>
              <w:rPr>
                <w:b/>
                <w:color w:val="000000"/>
                <w:lang w:val="en-CA"/>
              </w:rPr>
            </w:pPr>
            <w:r w:rsidRPr="00664CC7">
              <w:rPr>
                <w:b/>
                <w:color w:val="000000"/>
                <w:lang w:val="en-CA"/>
              </w:rPr>
              <w:t xml:space="preserve">Revised </w:t>
            </w:r>
            <w:r w:rsidR="00D12485" w:rsidRPr="00664CC7">
              <w:rPr>
                <w:b/>
                <w:color w:val="000000"/>
                <w:lang w:val="en-CA"/>
              </w:rPr>
              <w:t xml:space="preserve">Agreement </w:t>
            </w:r>
            <w:r w:rsidRPr="00664CC7">
              <w:rPr>
                <w:b/>
                <w:color w:val="000000"/>
                <w:lang w:val="en-CA"/>
              </w:rPr>
              <w:t>(where applicable)</w:t>
            </w:r>
          </w:p>
        </w:tc>
        <w:tc>
          <w:tcPr>
            <w:tcW w:w="429" w:type="pct"/>
            <w:tcBorders>
              <w:top w:val="nil"/>
              <w:bottom w:val="single" w:sz="4" w:space="0" w:color="auto"/>
            </w:tcBorders>
            <w:vAlign w:val="center"/>
            <w:hideMark/>
          </w:tcPr>
          <w:p w14:paraId="6C8545F0" w14:textId="5B0AF630" w:rsidR="006D5BC5" w:rsidRPr="00664CC7" w:rsidRDefault="005B3991" w:rsidP="00664CC7">
            <w:pPr>
              <w:jc w:val="center"/>
              <w:rPr>
                <w:color w:val="000000"/>
                <w:lang w:val="en-CA"/>
              </w:rPr>
            </w:pPr>
            <w:r w:rsidRPr="00664CC7">
              <w:rPr>
                <w:color w:val="000000"/>
                <w:lang w:val="en-CA"/>
              </w:rPr>
              <w:t>N/A</w:t>
            </w:r>
          </w:p>
        </w:tc>
        <w:tc>
          <w:tcPr>
            <w:tcW w:w="2619" w:type="pct"/>
            <w:tcBorders>
              <w:top w:val="nil"/>
              <w:bottom w:val="single" w:sz="4" w:space="0" w:color="auto"/>
            </w:tcBorders>
            <w:vAlign w:val="center"/>
            <w:hideMark/>
          </w:tcPr>
          <w:p w14:paraId="4FD8F5BB" w14:textId="77777777" w:rsidR="006D5BC5" w:rsidRPr="00664CC7" w:rsidRDefault="006D5BC5" w:rsidP="00664CC7">
            <w:pPr>
              <w:rPr>
                <w:color w:val="000000"/>
                <w:lang w:val="en-CA"/>
              </w:rPr>
            </w:pPr>
          </w:p>
        </w:tc>
      </w:tr>
      <w:tr w:rsidR="0032197C" w:rsidRPr="00664CC7" w14:paraId="7DDAA0BF" w14:textId="77777777" w:rsidTr="0032197C">
        <w:tc>
          <w:tcPr>
            <w:tcW w:w="1952" w:type="pct"/>
            <w:tcBorders>
              <w:top w:val="single" w:sz="4" w:space="0" w:color="auto"/>
            </w:tcBorders>
            <w:shd w:val="clear" w:color="auto" w:fill="D9D9D9"/>
            <w:vAlign w:val="center"/>
          </w:tcPr>
          <w:p w14:paraId="6788B890" w14:textId="00D8773B" w:rsidR="0032197C" w:rsidRPr="00664CC7" w:rsidRDefault="0032197C" w:rsidP="00664CC7">
            <w:pPr>
              <w:rPr>
                <w:b/>
                <w:color w:val="000000"/>
                <w:lang w:val="en-CA"/>
              </w:rPr>
            </w:pPr>
            <w:r w:rsidRPr="00664CC7">
              <w:rPr>
                <w:b/>
                <w:color w:val="000000"/>
                <w:lang w:val="en-CA"/>
              </w:rPr>
              <w:t>Consideration of the Multilateral Fund gender policy (completed checklist)</w:t>
            </w:r>
          </w:p>
        </w:tc>
        <w:tc>
          <w:tcPr>
            <w:tcW w:w="429" w:type="pct"/>
            <w:tcBorders>
              <w:top w:val="single" w:sz="4" w:space="0" w:color="auto"/>
            </w:tcBorders>
            <w:vAlign w:val="center"/>
          </w:tcPr>
          <w:p w14:paraId="031D683F" w14:textId="5D6CB55A" w:rsidR="0032197C" w:rsidRPr="00664CC7" w:rsidRDefault="009241F1" w:rsidP="00664CC7">
            <w:pPr>
              <w:jc w:val="center"/>
              <w:rPr>
                <w:color w:val="000000"/>
                <w:lang w:val="en-CA"/>
              </w:rPr>
            </w:pPr>
            <w:r w:rsidRPr="00664CC7">
              <w:rPr>
                <w:color w:val="000000"/>
                <w:lang w:val="en-CA"/>
              </w:rPr>
              <w:t>Yes</w:t>
            </w:r>
          </w:p>
        </w:tc>
        <w:tc>
          <w:tcPr>
            <w:tcW w:w="2619" w:type="pct"/>
            <w:tcBorders>
              <w:top w:val="single" w:sz="4" w:space="0" w:color="auto"/>
            </w:tcBorders>
            <w:vAlign w:val="center"/>
          </w:tcPr>
          <w:p w14:paraId="1A34FD00" w14:textId="77777777" w:rsidR="0032197C" w:rsidRPr="00664CC7" w:rsidRDefault="0032197C" w:rsidP="00664CC7">
            <w:pPr>
              <w:rPr>
                <w:color w:val="000000"/>
                <w:lang w:val="en-CA"/>
              </w:rPr>
            </w:pPr>
          </w:p>
        </w:tc>
      </w:tr>
    </w:tbl>
    <w:p w14:paraId="3692B85B" w14:textId="77777777" w:rsidR="000C6B52" w:rsidRPr="00664CC7" w:rsidRDefault="000C6B52" w:rsidP="00664CC7">
      <w:pPr>
        <w:tabs>
          <w:tab w:val="left" w:pos="3600"/>
          <w:tab w:val="right" w:leader="underscore" w:pos="7344"/>
          <w:tab w:val="right" w:leader="underscore" w:pos="9360"/>
        </w:tabs>
        <w:rPr>
          <w:color w:val="000000"/>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890"/>
        <w:gridCol w:w="4810"/>
      </w:tblGrid>
      <w:tr w:rsidR="000C6B52" w:rsidRPr="00664CC7" w14:paraId="558B89DD" w14:textId="77777777" w:rsidTr="006F5B2C">
        <w:tc>
          <w:tcPr>
            <w:tcW w:w="5000" w:type="pct"/>
            <w:gridSpan w:val="3"/>
            <w:shd w:val="clear" w:color="auto" w:fill="D9D9D9"/>
            <w:tcMar>
              <w:left w:w="115" w:type="dxa"/>
              <w:right w:w="0" w:type="dxa"/>
            </w:tcMar>
            <w:vAlign w:val="center"/>
          </w:tcPr>
          <w:p w14:paraId="35B756D9" w14:textId="77777777" w:rsidR="000C6B52" w:rsidRPr="00664CC7" w:rsidRDefault="000C6B52" w:rsidP="00664CC7">
            <w:pPr>
              <w:rPr>
                <w:b/>
                <w:color w:val="000000"/>
                <w:lang w:val="en-CA"/>
              </w:rPr>
            </w:pPr>
            <w:r w:rsidRPr="00664CC7">
              <w:rPr>
                <w:b/>
                <w:color w:val="000000"/>
                <w:lang w:val="en-CA"/>
              </w:rPr>
              <w:t>HCFC REGULATIONS IN PLACE</w:t>
            </w:r>
          </w:p>
        </w:tc>
      </w:tr>
      <w:tr w:rsidR="006F5B2C" w:rsidRPr="00664CC7" w14:paraId="2F254181" w14:textId="77777777" w:rsidTr="00B60453">
        <w:tc>
          <w:tcPr>
            <w:tcW w:w="1952" w:type="pct"/>
            <w:shd w:val="clear" w:color="auto" w:fill="D9D9D9"/>
            <w:tcMar>
              <w:left w:w="115" w:type="dxa"/>
              <w:right w:w="0" w:type="dxa"/>
            </w:tcMar>
            <w:vAlign w:val="center"/>
            <w:hideMark/>
          </w:tcPr>
          <w:p w14:paraId="6534C49D" w14:textId="77777777" w:rsidR="000C6B52" w:rsidRPr="00664CC7" w:rsidRDefault="000C6B52" w:rsidP="00664CC7">
            <w:pPr>
              <w:rPr>
                <w:b/>
                <w:color w:val="000000"/>
                <w:lang w:val="en-CA"/>
              </w:rPr>
            </w:pPr>
            <w:r w:rsidRPr="00664CC7">
              <w:rPr>
                <w:b/>
                <w:color w:val="000000"/>
                <w:lang w:val="en-CA"/>
              </w:rPr>
              <w:t>Regulation</w:t>
            </w:r>
          </w:p>
        </w:tc>
        <w:tc>
          <w:tcPr>
            <w:tcW w:w="476" w:type="pct"/>
            <w:shd w:val="clear" w:color="auto" w:fill="D9D9D9"/>
            <w:tcMar>
              <w:left w:w="115" w:type="dxa"/>
              <w:right w:w="0" w:type="dxa"/>
            </w:tcMar>
            <w:vAlign w:val="center"/>
            <w:hideMark/>
          </w:tcPr>
          <w:p w14:paraId="3467B95E" w14:textId="77777777" w:rsidR="000C6B52" w:rsidRPr="00664CC7" w:rsidRDefault="000C6B52" w:rsidP="00664CC7">
            <w:pPr>
              <w:jc w:val="left"/>
              <w:rPr>
                <w:b/>
                <w:color w:val="000000"/>
                <w:lang w:val="en-CA"/>
              </w:rPr>
            </w:pPr>
            <w:r w:rsidRPr="00664CC7">
              <w:rPr>
                <w:b/>
                <w:color w:val="000000"/>
                <w:lang w:val="en-CA"/>
              </w:rPr>
              <w:t>Yes/No</w:t>
            </w:r>
          </w:p>
        </w:tc>
        <w:tc>
          <w:tcPr>
            <w:tcW w:w="2571" w:type="pct"/>
            <w:shd w:val="clear" w:color="auto" w:fill="D9D9D9"/>
            <w:tcMar>
              <w:left w:w="115" w:type="dxa"/>
              <w:right w:w="0" w:type="dxa"/>
            </w:tcMar>
            <w:vAlign w:val="center"/>
            <w:hideMark/>
          </w:tcPr>
          <w:p w14:paraId="0A3F0812" w14:textId="77777777" w:rsidR="000C6B52" w:rsidRPr="00664CC7" w:rsidRDefault="000C6B52" w:rsidP="00664CC7">
            <w:pPr>
              <w:rPr>
                <w:b/>
                <w:color w:val="000000"/>
                <w:lang w:val="en-CA"/>
              </w:rPr>
            </w:pPr>
            <w:r w:rsidRPr="00664CC7">
              <w:rPr>
                <w:b/>
                <w:color w:val="000000"/>
                <w:lang w:val="en-CA"/>
              </w:rPr>
              <w:t>Comments</w:t>
            </w:r>
          </w:p>
        </w:tc>
      </w:tr>
      <w:tr w:rsidR="000C6B52" w:rsidRPr="00664CC7" w14:paraId="6FC01D57" w14:textId="77777777" w:rsidTr="006F5B2C">
        <w:tc>
          <w:tcPr>
            <w:tcW w:w="1952" w:type="pct"/>
            <w:shd w:val="clear" w:color="auto" w:fill="D9D9D9"/>
            <w:vAlign w:val="center"/>
            <w:hideMark/>
          </w:tcPr>
          <w:p w14:paraId="434EB6B9" w14:textId="77777777" w:rsidR="000C6B52" w:rsidRPr="00664CC7" w:rsidRDefault="000C6B52" w:rsidP="00664CC7">
            <w:pPr>
              <w:rPr>
                <w:b/>
                <w:color w:val="000000"/>
                <w:lang w:val="en-CA"/>
              </w:rPr>
            </w:pPr>
            <w:r w:rsidRPr="00664CC7">
              <w:rPr>
                <w:b/>
                <w:color w:val="000000"/>
                <w:lang w:val="en-CA"/>
              </w:rPr>
              <w:t>HCFC licensing system</w:t>
            </w:r>
            <w:r w:rsidR="0005654D" w:rsidRPr="00664CC7">
              <w:rPr>
                <w:b/>
                <w:color w:val="000000"/>
                <w:lang w:val="en-CA"/>
              </w:rPr>
              <w:t xml:space="preserve"> (operational)</w:t>
            </w:r>
          </w:p>
        </w:tc>
        <w:tc>
          <w:tcPr>
            <w:tcW w:w="476" w:type="pct"/>
            <w:vAlign w:val="center"/>
            <w:hideMark/>
          </w:tcPr>
          <w:p w14:paraId="3DC4AE46" w14:textId="784CD099" w:rsidR="000C6B52" w:rsidRPr="00664CC7" w:rsidRDefault="005B3991" w:rsidP="00664CC7">
            <w:pPr>
              <w:jc w:val="center"/>
              <w:rPr>
                <w:color w:val="000000"/>
                <w:lang w:val="en-CA"/>
              </w:rPr>
            </w:pPr>
            <w:r w:rsidRPr="00664CC7">
              <w:rPr>
                <w:color w:val="000000"/>
                <w:lang w:val="en-CA"/>
              </w:rPr>
              <w:t>Yes</w:t>
            </w:r>
          </w:p>
        </w:tc>
        <w:tc>
          <w:tcPr>
            <w:tcW w:w="2571" w:type="pct"/>
            <w:vAlign w:val="center"/>
            <w:hideMark/>
          </w:tcPr>
          <w:p w14:paraId="3D5E8FD1" w14:textId="77777777" w:rsidR="000C6B52" w:rsidRPr="00664CC7" w:rsidRDefault="000C6B52" w:rsidP="00664CC7">
            <w:pPr>
              <w:rPr>
                <w:color w:val="000000"/>
                <w:lang w:val="en-CA"/>
              </w:rPr>
            </w:pPr>
          </w:p>
        </w:tc>
      </w:tr>
      <w:tr w:rsidR="000C6B52" w:rsidRPr="00664CC7" w14:paraId="3364B698" w14:textId="77777777" w:rsidTr="006F5B2C">
        <w:tc>
          <w:tcPr>
            <w:tcW w:w="1952" w:type="pct"/>
            <w:shd w:val="clear" w:color="auto" w:fill="D9D9D9"/>
            <w:vAlign w:val="center"/>
            <w:hideMark/>
          </w:tcPr>
          <w:p w14:paraId="38327955" w14:textId="77777777" w:rsidR="000C6B52" w:rsidRPr="00664CC7" w:rsidRDefault="000C6B52" w:rsidP="00664CC7">
            <w:pPr>
              <w:rPr>
                <w:b/>
                <w:color w:val="000000"/>
                <w:lang w:val="en-CA"/>
              </w:rPr>
            </w:pPr>
            <w:r w:rsidRPr="00664CC7">
              <w:rPr>
                <w:b/>
                <w:color w:val="000000"/>
                <w:lang w:val="en-CA"/>
              </w:rPr>
              <w:t>HCFC quota system</w:t>
            </w:r>
            <w:r w:rsidR="0005654D" w:rsidRPr="00664CC7">
              <w:rPr>
                <w:b/>
                <w:color w:val="000000"/>
                <w:lang w:val="en-CA"/>
              </w:rPr>
              <w:t xml:space="preserve"> (operational)</w:t>
            </w:r>
          </w:p>
        </w:tc>
        <w:tc>
          <w:tcPr>
            <w:tcW w:w="476" w:type="pct"/>
            <w:vAlign w:val="center"/>
            <w:hideMark/>
          </w:tcPr>
          <w:p w14:paraId="03658CEC" w14:textId="7D6F49B7" w:rsidR="000C6B52" w:rsidRPr="00664CC7" w:rsidRDefault="005B3991" w:rsidP="00664CC7">
            <w:pPr>
              <w:jc w:val="center"/>
              <w:rPr>
                <w:color w:val="000000"/>
                <w:lang w:val="en-CA"/>
              </w:rPr>
            </w:pPr>
            <w:r w:rsidRPr="00664CC7">
              <w:rPr>
                <w:color w:val="000000"/>
                <w:lang w:val="en-CA"/>
              </w:rPr>
              <w:t>Yes</w:t>
            </w:r>
          </w:p>
        </w:tc>
        <w:tc>
          <w:tcPr>
            <w:tcW w:w="2571" w:type="pct"/>
            <w:vAlign w:val="center"/>
            <w:hideMark/>
          </w:tcPr>
          <w:p w14:paraId="69DBE172" w14:textId="77777777" w:rsidR="000C6B52" w:rsidRPr="00664CC7" w:rsidRDefault="000C6B52" w:rsidP="00664CC7">
            <w:pPr>
              <w:rPr>
                <w:color w:val="000000"/>
                <w:lang w:val="en-CA"/>
              </w:rPr>
            </w:pPr>
          </w:p>
        </w:tc>
      </w:tr>
    </w:tbl>
    <w:p w14:paraId="39BDB970" w14:textId="77777777" w:rsidR="000C6B52" w:rsidRPr="00664CC7" w:rsidRDefault="000C6B52" w:rsidP="00664CC7">
      <w:pPr>
        <w:rPr>
          <w:b/>
          <w:color w:val="000000"/>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890"/>
        <w:gridCol w:w="1425"/>
        <w:gridCol w:w="4007"/>
      </w:tblGrid>
      <w:tr w:rsidR="000C6B52" w:rsidRPr="00664CC7" w14:paraId="4A6D9CDA" w14:textId="77777777" w:rsidTr="006F5B2C">
        <w:tc>
          <w:tcPr>
            <w:tcW w:w="5000" w:type="pct"/>
            <w:gridSpan w:val="4"/>
            <w:shd w:val="clear" w:color="auto" w:fill="D9D9D9"/>
            <w:tcMar>
              <w:left w:w="115" w:type="dxa"/>
              <w:right w:w="0" w:type="dxa"/>
            </w:tcMar>
            <w:vAlign w:val="center"/>
          </w:tcPr>
          <w:p w14:paraId="3E7FDDD2" w14:textId="77777777" w:rsidR="000C6B52" w:rsidRPr="00664CC7" w:rsidRDefault="000C6B52" w:rsidP="00664CC7">
            <w:pPr>
              <w:rPr>
                <w:b/>
                <w:color w:val="000000"/>
                <w:lang w:val="en-CA"/>
              </w:rPr>
            </w:pPr>
            <w:r w:rsidRPr="00664CC7">
              <w:rPr>
                <w:b/>
                <w:color w:val="000000"/>
                <w:lang w:val="en-CA"/>
              </w:rPr>
              <w:t>SUBMISSION OF ODS DATA REPORTS</w:t>
            </w:r>
          </w:p>
        </w:tc>
      </w:tr>
      <w:tr w:rsidR="006F5B2C" w:rsidRPr="00664CC7" w14:paraId="1561B147" w14:textId="77777777" w:rsidTr="00B60453">
        <w:tc>
          <w:tcPr>
            <w:tcW w:w="1619" w:type="pct"/>
            <w:shd w:val="clear" w:color="auto" w:fill="D9D9D9"/>
            <w:tcMar>
              <w:left w:w="115" w:type="dxa"/>
              <w:right w:w="0" w:type="dxa"/>
            </w:tcMar>
            <w:vAlign w:val="center"/>
            <w:hideMark/>
          </w:tcPr>
          <w:p w14:paraId="6A272FAF" w14:textId="77777777" w:rsidR="000C6B52" w:rsidRPr="00664CC7" w:rsidRDefault="000C6B52" w:rsidP="00664CC7">
            <w:pPr>
              <w:rPr>
                <w:b/>
                <w:color w:val="000000"/>
                <w:lang w:val="en-CA"/>
              </w:rPr>
            </w:pPr>
            <w:r w:rsidRPr="00664CC7">
              <w:rPr>
                <w:b/>
                <w:color w:val="000000"/>
                <w:lang w:val="en-CA"/>
              </w:rPr>
              <w:t>Report</w:t>
            </w:r>
          </w:p>
        </w:tc>
        <w:tc>
          <w:tcPr>
            <w:tcW w:w="476" w:type="pct"/>
            <w:shd w:val="clear" w:color="auto" w:fill="D9D9D9"/>
            <w:tcMar>
              <w:left w:w="115" w:type="dxa"/>
              <w:right w:w="0" w:type="dxa"/>
            </w:tcMar>
            <w:hideMark/>
          </w:tcPr>
          <w:p w14:paraId="7C5D3A44" w14:textId="77777777" w:rsidR="000C6B52" w:rsidRPr="00664CC7" w:rsidRDefault="000C6B52" w:rsidP="00664CC7">
            <w:pPr>
              <w:jc w:val="left"/>
              <w:rPr>
                <w:b/>
                <w:color w:val="000000"/>
                <w:lang w:val="en-CA"/>
              </w:rPr>
            </w:pPr>
            <w:r w:rsidRPr="00664CC7">
              <w:rPr>
                <w:b/>
                <w:color w:val="000000"/>
                <w:lang w:val="en-CA"/>
              </w:rPr>
              <w:t>Yes/No</w:t>
            </w:r>
          </w:p>
        </w:tc>
        <w:tc>
          <w:tcPr>
            <w:tcW w:w="762" w:type="pct"/>
            <w:shd w:val="clear" w:color="auto" w:fill="D9D9D9"/>
            <w:tcMar>
              <w:left w:w="115" w:type="dxa"/>
              <w:right w:w="0" w:type="dxa"/>
            </w:tcMar>
            <w:vAlign w:val="center"/>
            <w:hideMark/>
          </w:tcPr>
          <w:p w14:paraId="1F913FE9" w14:textId="77777777" w:rsidR="000C6B52" w:rsidRPr="00664CC7" w:rsidRDefault="000C6B52" w:rsidP="00664CC7">
            <w:pPr>
              <w:rPr>
                <w:b/>
                <w:color w:val="000000"/>
                <w:lang w:val="en-CA"/>
              </w:rPr>
            </w:pPr>
            <w:r w:rsidRPr="00664CC7">
              <w:rPr>
                <w:b/>
                <w:color w:val="000000"/>
                <w:lang w:val="en-CA"/>
              </w:rPr>
              <w:t xml:space="preserve">Year </w:t>
            </w:r>
            <w:r w:rsidR="009E31F9" w:rsidRPr="00664CC7">
              <w:rPr>
                <w:b/>
                <w:color w:val="000000"/>
                <w:lang w:val="en-CA"/>
              </w:rPr>
              <w:t>of</w:t>
            </w:r>
            <w:r w:rsidRPr="00664CC7">
              <w:rPr>
                <w:b/>
                <w:color w:val="000000"/>
                <w:lang w:val="en-CA"/>
              </w:rPr>
              <w:t xml:space="preserve"> data</w:t>
            </w:r>
          </w:p>
        </w:tc>
        <w:tc>
          <w:tcPr>
            <w:tcW w:w="2143" w:type="pct"/>
            <w:shd w:val="clear" w:color="auto" w:fill="D9D9D9"/>
            <w:vAlign w:val="center"/>
          </w:tcPr>
          <w:p w14:paraId="224D9534" w14:textId="77777777" w:rsidR="000C6B52" w:rsidRPr="00664CC7" w:rsidRDefault="000C6B52" w:rsidP="00664CC7">
            <w:pPr>
              <w:rPr>
                <w:b/>
                <w:color w:val="000000"/>
                <w:lang w:val="en-CA"/>
              </w:rPr>
            </w:pPr>
            <w:r w:rsidRPr="00664CC7">
              <w:rPr>
                <w:b/>
                <w:color w:val="000000"/>
                <w:lang w:val="en-CA"/>
              </w:rPr>
              <w:t>Comments</w:t>
            </w:r>
          </w:p>
        </w:tc>
      </w:tr>
      <w:tr w:rsidR="000C6B52" w:rsidRPr="00664CC7" w14:paraId="2121FDAB" w14:textId="77777777" w:rsidTr="00E47A29">
        <w:tc>
          <w:tcPr>
            <w:tcW w:w="1619" w:type="pct"/>
            <w:shd w:val="clear" w:color="auto" w:fill="D9D9D9"/>
            <w:tcMar>
              <w:left w:w="115" w:type="dxa"/>
            </w:tcMar>
            <w:vAlign w:val="center"/>
            <w:hideMark/>
          </w:tcPr>
          <w:p w14:paraId="5FDAABE9" w14:textId="77777777" w:rsidR="000C6B52" w:rsidRPr="00664CC7" w:rsidRDefault="000C6B52" w:rsidP="00664CC7">
            <w:pPr>
              <w:rPr>
                <w:b/>
                <w:color w:val="000000"/>
                <w:lang w:val="en-CA"/>
              </w:rPr>
            </w:pPr>
            <w:r w:rsidRPr="00664CC7">
              <w:rPr>
                <w:b/>
                <w:color w:val="000000"/>
                <w:lang w:val="en-CA"/>
              </w:rPr>
              <w:t>Country programme</w:t>
            </w:r>
          </w:p>
        </w:tc>
        <w:tc>
          <w:tcPr>
            <w:tcW w:w="476" w:type="pct"/>
            <w:tcMar>
              <w:left w:w="115" w:type="dxa"/>
            </w:tcMar>
            <w:vAlign w:val="center"/>
            <w:hideMark/>
          </w:tcPr>
          <w:p w14:paraId="6301EF8C" w14:textId="7F36666C" w:rsidR="000C6B52" w:rsidRPr="00664CC7" w:rsidRDefault="001F5695" w:rsidP="00664CC7">
            <w:pPr>
              <w:jc w:val="center"/>
              <w:rPr>
                <w:color w:val="000000"/>
                <w:lang w:val="en-CA"/>
              </w:rPr>
            </w:pPr>
            <w:r w:rsidRPr="00664CC7">
              <w:rPr>
                <w:color w:val="000000"/>
                <w:lang w:val="en-CA"/>
              </w:rPr>
              <w:t>Yes</w:t>
            </w:r>
          </w:p>
        </w:tc>
        <w:tc>
          <w:tcPr>
            <w:tcW w:w="762" w:type="pct"/>
            <w:shd w:val="clear" w:color="auto" w:fill="auto"/>
            <w:tcMar>
              <w:left w:w="115" w:type="dxa"/>
            </w:tcMar>
            <w:vAlign w:val="center"/>
            <w:hideMark/>
          </w:tcPr>
          <w:p w14:paraId="5C4FA8E5" w14:textId="7B437E7E" w:rsidR="000C6B52" w:rsidRPr="00C94B87" w:rsidRDefault="0056550C" w:rsidP="00664CC7">
            <w:pPr>
              <w:rPr>
                <w:color w:val="000000"/>
                <w:lang w:val="en-CA"/>
              </w:rPr>
            </w:pPr>
            <w:r w:rsidRPr="00C94B87">
              <w:rPr>
                <w:color w:val="000000"/>
                <w:lang w:val="en-CA"/>
              </w:rPr>
              <w:t>202</w:t>
            </w:r>
            <w:r w:rsidR="005507BC" w:rsidRPr="00C94B87">
              <w:rPr>
                <w:color w:val="000000"/>
                <w:lang w:val="en-CA"/>
              </w:rPr>
              <w:t>3</w:t>
            </w:r>
          </w:p>
        </w:tc>
        <w:tc>
          <w:tcPr>
            <w:tcW w:w="2143" w:type="pct"/>
            <w:vAlign w:val="center"/>
          </w:tcPr>
          <w:p w14:paraId="770F4DA0" w14:textId="77777777" w:rsidR="000C6B52" w:rsidRPr="00664CC7" w:rsidRDefault="000C6B52" w:rsidP="00664CC7">
            <w:pPr>
              <w:rPr>
                <w:color w:val="000000"/>
                <w:lang w:val="en-CA"/>
              </w:rPr>
            </w:pPr>
          </w:p>
        </w:tc>
      </w:tr>
      <w:tr w:rsidR="00DA1B5E" w:rsidRPr="00664CC7" w14:paraId="3D54D23B" w14:textId="77777777" w:rsidTr="00E47A29">
        <w:tc>
          <w:tcPr>
            <w:tcW w:w="1619" w:type="pct"/>
            <w:shd w:val="clear" w:color="auto" w:fill="D9D9D9"/>
            <w:vAlign w:val="center"/>
            <w:hideMark/>
          </w:tcPr>
          <w:p w14:paraId="300D5D6B" w14:textId="77777777" w:rsidR="00DA1B5E" w:rsidRPr="00664CC7" w:rsidRDefault="00DA1B5E" w:rsidP="00664CC7">
            <w:pPr>
              <w:rPr>
                <w:b/>
                <w:color w:val="000000"/>
                <w:lang w:val="en-CA"/>
              </w:rPr>
            </w:pPr>
            <w:r w:rsidRPr="00664CC7">
              <w:rPr>
                <w:b/>
                <w:color w:val="000000"/>
                <w:lang w:val="en-CA"/>
              </w:rPr>
              <w:t>Article 7 data (latest report)</w:t>
            </w:r>
          </w:p>
        </w:tc>
        <w:tc>
          <w:tcPr>
            <w:tcW w:w="476" w:type="pct"/>
            <w:vAlign w:val="center"/>
            <w:hideMark/>
          </w:tcPr>
          <w:p w14:paraId="0BC5929D" w14:textId="47068E6B" w:rsidR="00DA1B5E" w:rsidRPr="00664CC7" w:rsidRDefault="001F5695" w:rsidP="00664CC7">
            <w:pPr>
              <w:jc w:val="center"/>
              <w:rPr>
                <w:color w:val="000000"/>
                <w:lang w:val="en-CA"/>
              </w:rPr>
            </w:pPr>
            <w:r w:rsidRPr="00664CC7">
              <w:rPr>
                <w:color w:val="000000"/>
                <w:lang w:val="en-CA"/>
              </w:rPr>
              <w:t>Yes</w:t>
            </w:r>
          </w:p>
        </w:tc>
        <w:tc>
          <w:tcPr>
            <w:tcW w:w="762" w:type="pct"/>
            <w:shd w:val="clear" w:color="auto" w:fill="auto"/>
            <w:vAlign w:val="center"/>
            <w:hideMark/>
          </w:tcPr>
          <w:p w14:paraId="3596421D" w14:textId="4E0EA0B4" w:rsidR="00DA1B5E" w:rsidRPr="00C94B87" w:rsidRDefault="0056550C" w:rsidP="00664CC7">
            <w:pPr>
              <w:rPr>
                <w:rFonts w:asciiTheme="minorHAnsi" w:hAnsiTheme="minorHAnsi"/>
                <w:color w:val="000000"/>
                <w:lang w:val="ka-GE"/>
              </w:rPr>
            </w:pPr>
            <w:r w:rsidRPr="00C94B87">
              <w:rPr>
                <w:color w:val="000000"/>
                <w:lang w:val="en-CA"/>
              </w:rPr>
              <w:t>202</w:t>
            </w:r>
            <w:r w:rsidR="005507BC" w:rsidRPr="00C94B87">
              <w:rPr>
                <w:color w:val="000000"/>
                <w:lang w:val="en-CA"/>
              </w:rPr>
              <w:t>3</w:t>
            </w:r>
          </w:p>
        </w:tc>
        <w:tc>
          <w:tcPr>
            <w:tcW w:w="2143" w:type="pct"/>
            <w:vAlign w:val="center"/>
          </w:tcPr>
          <w:p w14:paraId="60732B66" w14:textId="77777777" w:rsidR="00DA1B5E" w:rsidRPr="00664CC7" w:rsidRDefault="00DA1B5E" w:rsidP="00664CC7">
            <w:pPr>
              <w:rPr>
                <w:color w:val="000000"/>
                <w:lang w:val="en-CA"/>
              </w:rPr>
            </w:pPr>
          </w:p>
        </w:tc>
      </w:tr>
      <w:tr w:rsidR="000C6B52" w:rsidRPr="00664CC7" w14:paraId="1194F97D" w14:textId="77777777" w:rsidTr="006F5B2C">
        <w:tc>
          <w:tcPr>
            <w:tcW w:w="5000" w:type="pct"/>
            <w:gridSpan w:val="4"/>
            <w:tcMar>
              <w:left w:w="115" w:type="dxa"/>
              <w:right w:w="0" w:type="dxa"/>
            </w:tcMar>
            <w:vAlign w:val="center"/>
          </w:tcPr>
          <w:p w14:paraId="18A403F8" w14:textId="0DD17E17" w:rsidR="00451414" w:rsidRPr="00664CC7" w:rsidRDefault="000C6B52" w:rsidP="00664CC7">
            <w:pPr>
              <w:jc w:val="left"/>
              <w:rPr>
                <w:color w:val="000000"/>
                <w:lang w:val="en-CA"/>
              </w:rPr>
            </w:pPr>
            <w:r w:rsidRPr="00664CC7">
              <w:rPr>
                <w:b/>
                <w:color w:val="000000"/>
                <w:lang w:val="en-CA"/>
              </w:rPr>
              <w:t>Explain any data discrepancies:</w:t>
            </w:r>
          </w:p>
          <w:p w14:paraId="67390580" w14:textId="77777777" w:rsidR="00451414" w:rsidRPr="00664CC7" w:rsidRDefault="00451414" w:rsidP="00664CC7">
            <w:pPr>
              <w:jc w:val="left"/>
              <w:rPr>
                <w:b/>
                <w:color w:val="000000"/>
                <w:lang w:val="en-CA"/>
              </w:rPr>
            </w:pPr>
          </w:p>
        </w:tc>
      </w:tr>
    </w:tbl>
    <w:p w14:paraId="1B33D8CD" w14:textId="77777777" w:rsidR="000C6B52" w:rsidRPr="00664CC7" w:rsidRDefault="000C6B52" w:rsidP="00664CC7">
      <w:pPr>
        <w:rPr>
          <w:color w:val="000000"/>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90"/>
        <w:gridCol w:w="712"/>
        <w:gridCol w:w="888"/>
        <w:gridCol w:w="445"/>
        <w:gridCol w:w="890"/>
        <w:gridCol w:w="2048"/>
        <w:gridCol w:w="533"/>
        <w:gridCol w:w="890"/>
        <w:gridCol w:w="7"/>
      </w:tblGrid>
      <w:tr w:rsidR="000C6B52" w:rsidRPr="00664CC7" w14:paraId="3578D94A" w14:textId="77777777" w:rsidTr="006F5B2C">
        <w:tc>
          <w:tcPr>
            <w:tcW w:w="5000" w:type="pct"/>
            <w:gridSpan w:val="10"/>
            <w:shd w:val="clear" w:color="auto" w:fill="D9D9D9"/>
          </w:tcPr>
          <w:p w14:paraId="2F10E047" w14:textId="77777777" w:rsidR="000C6B52" w:rsidRPr="00664CC7" w:rsidRDefault="000C6B52" w:rsidP="00664CC7">
            <w:pPr>
              <w:rPr>
                <w:b/>
                <w:color w:val="000000"/>
                <w:lang w:val="en-CA"/>
              </w:rPr>
            </w:pPr>
            <w:r w:rsidRPr="00664CC7">
              <w:rPr>
                <w:b/>
                <w:color w:val="000000"/>
                <w:lang w:val="en-CA"/>
              </w:rPr>
              <w:t>HPMP DOCUMENT</w:t>
            </w:r>
          </w:p>
        </w:tc>
      </w:tr>
      <w:tr w:rsidR="006F5B2C" w:rsidRPr="00664CC7" w14:paraId="6E3B5D4C" w14:textId="77777777" w:rsidTr="00B60453">
        <w:trPr>
          <w:gridAfter w:val="1"/>
          <w:wAfter w:w="4" w:type="pct"/>
        </w:trPr>
        <w:tc>
          <w:tcPr>
            <w:tcW w:w="1951" w:type="pct"/>
            <w:gridSpan w:val="3"/>
            <w:tcBorders>
              <w:bottom w:val="single" w:sz="4" w:space="0" w:color="auto"/>
            </w:tcBorders>
            <w:shd w:val="clear" w:color="auto" w:fill="D9D9D9"/>
          </w:tcPr>
          <w:p w14:paraId="7834A905" w14:textId="77777777" w:rsidR="00DA1B5E" w:rsidRPr="00664CC7" w:rsidRDefault="00DA1B5E" w:rsidP="00664CC7">
            <w:pPr>
              <w:rPr>
                <w:b/>
                <w:color w:val="000000"/>
                <w:lang w:val="en-CA"/>
              </w:rPr>
            </w:pPr>
            <w:r w:rsidRPr="00664CC7">
              <w:rPr>
                <w:b/>
                <w:color w:val="000000"/>
                <w:lang w:val="en-CA"/>
              </w:rPr>
              <w:t>Phase-out commitment (%)</w:t>
            </w:r>
          </w:p>
        </w:tc>
        <w:tc>
          <w:tcPr>
            <w:tcW w:w="475" w:type="pct"/>
            <w:tcBorders>
              <w:bottom w:val="single" w:sz="4" w:space="0" w:color="auto"/>
            </w:tcBorders>
          </w:tcPr>
          <w:p w14:paraId="17452D6A" w14:textId="010E9283" w:rsidR="00DA1B5E" w:rsidRPr="00FE300C" w:rsidRDefault="00FE300C" w:rsidP="00664CC7">
            <w:pPr>
              <w:rPr>
                <w:color w:val="000000"/>
                <w:lang w:val="en-CA"/>
              </w:rPr>
            </w:pPr>
            <w:r w:rsidRPr="00FE300C">
              <w:rPr>
                <w:color w:val="000000"/>
                <w:lang w:val="en-CA"/>
              </w:rPr>
              <w:t>67</w:t>
            </w:r>
            <w:r w:rsidR="00DD05C9" w:rsidRPr="00FE300C">
              <w:rPr>
                <w:color w:val="000000"/>
                <w:lang w:val="en-CA"/>
              </w:rPr>
              <w:t>.5%</w:t>
            </w:r>
          </w:p>
        </w:tc>
        <w:tc>
          <w:tcPr>
            <w:tcW w:w="1809" w:type="pct"/>
            <w:gridSpan w:val="3"/>
            <w:tcBorders>
              <w:bottom w:val="single" w:sz="4" w:space="0" w:color="auto"/>
            </w:tcBorders>
            <w:shd w:val="clear" w:color="auto" w:fill="D9D9D9"/>
          </w:tcPr>
          <w:p w14:paraId="53EBF414" w14:textId="77777777" w:rsidR="00DA1B5E" w:rsidRPr="00FE300C" w:rsidRDefault="00DA1B5E" w:rsidP="00664CC7">
            <w:pPr>
              <w:rPr>
                <w:b/>
                <w:color w:val="000000"/>
                <w:lang w:val="en-CA"/>
              </w:rPr>
            </w:pPr>
            <w:r w:rsidRPr="00FE300C">
              <w:rPr>
                <w:b/>
                <w:color w:val="000000"/>
                <w:lang w:val="en-CA"/>
              </w:rPr>
              <w:t>Year of commitment</w:t>
            </w:r>
          </w:p>
        </w:tc>
        <w:tc>
          <w:tcPr>
            <w:tcW w:w="761" w:type="pct"/>
            <w:gridSpan w:val="2"/>
            <w:tcBorders>
              <w:bottom w:val="single" w:sz="4" w:space="0" w:color="auto"/>
            </w:tcBorders>
          </w:tcPr>
          <w:p w14:paraId="1DFF826D" w14:textId="364786C0" w:rsidR="00DA1B5E" w:rsidRPr="00FE300C" w:rsidRDefault="00DD05C9" w:rsidP="00664CC7">
            <w:pPr>
              <w:rPr>
                <w:color w:val="000000"/>
                <w:lang w:val="en-CA"/>
              </w:rPr>
            </w:pPr>
            <w:r w:rsidRPr="00FE300C">
              <w:rPr>
                <w:color w:val="000000"/>
                <w:lang w:val="en-CA"/>
              </w:rPr>
              <w:t>20</w:t>
            </w:r>
            <w:r w:rsidR="00FE300C" w:rsidRPr="00FE300C">
              <w:rPr>
                <w:color w:val="000000"/>
                <w:lang w:val="en-CA"/>
              </w:rPr>
              <w:t>25</w:t>
            </w:r>
          </w:p>
        </w:tc>
      </w:tr>
      <w:tr w:rsidR="006F5B2C" w:rsidRPr="00664CC7" w14:paraId="459BA133" w14:textId="77777777" w:rsidTr="00B60453">
        <w:tc>
          <w:tcPr>
            <w:tcW w:w="1094" w:type="pct"/>
            <w:shd w:val="clear" w:color="auto" w:fill="D9D9D9"/>
            <w:tcMar>
              <w:left w:w="115" w:type="dxa"/>
              <w:right w:w="0" w:type="dxa"/>
            </w:tcMar>
          </w:tcPr>
          <w:p w14:paraId="7677144F" w14:textId="77777777" w:rsidR="00DA1B5E" w:rsidRPr="00664CC7" w:rsidRDefault="00DA1B5E" w:rsidP="00664CC7">
            <w:pPr>
              <w:rPr>
                <w:b/>
                <w:color w:val="000000"/>
                <w:lang w:val="en-CA"/>
              </w:rPr>
            </w:pPr>
            <w:r w:rsidRPr="00664CC7">
              <w:rPr>
                <w:b/>
                <w:color w:val="000000"/>
                <w:lang w:val="en-CA"/>
              </w:rPr>
              <w:t>Servicing only</w:t>
            </w:r>
          </w:p>
        </w:tc>
        <w:tc>
          <w:tcPr>
            <w:tcW w:w="476" w:type="pct"/>
            <w:tcMar>
              <w:left w:w="115" w:type="dxa"/>
              <w:right w:w="0" w:type="dxa"/>
            </w:tcMar>
          </w:tcPr>
          <w:p w14:paraId="51530386" w14:textId="28E7D8C1" w:rsidR="00DA1B5E" w:rsidRPr="00664CC7" w:rsidRDefault="00DD05C9" w:rsidP="00664CC7">
            <w:pPr>
              <w:rPr>
                <w:b/>
                <w:color w:val="000000"/>
                <w:lang w:val="en-CA"/>
              </w:rPr>
            </w:pPr>
            <w:r w:rsidRPr="00664CC7">
              <w:rPr>
                <w:b/>
                <w:color w:val="000000"/>
                <w:lang w:val="en-CA"/>
              </w:rPr>
              <w:t>x</w:t>
            </w:r>
          </w:p>
        </w:tc>
        <w:tc>
          <w:tcPr>
            <w:tcW w:w="1094" w:type="pct"/>
            <w:gridSpan w:val="3"/>
            <w:shd w:val="clear" w:color="auto" w:fill="D9D9D9"/>
            <w:tcMar>
              <w:left w:w="115" w:type="dxa"/>
              <w:right w:w="0" w:type="dxa"/>
            </w:tcMar>
          </w:tcPr>
          <w:p w14:paraId="78BB0A03" w14:textId="77777777" w:rsidR="00DA1B5E" w:rsidRPr="00664CC7" w:rsidRDefault="00DA1B5E" w:rsidP="00664CC7">
            <w:pPr>
              <w:rPr>
                <w:b/>
                <w:color w:val="000000"/>
                <w:lang w:val="en-CA"/>
              </w:rPr>
            </w:pPr>
            <w:r w:rsidRPr="00664CC7">
              <w:rPr>
                <w:b/>
                <w:color w:val="000000"/>
                <w:lang w:val="en-CA"/>
              </w:rPr>
              <w:t>Manufacturing only</w:t>
            </w:r>
          </w:p>
        </w:tc>
        <w:tc>
          <w:tcPr>
            <w:tcW w:w="476" w:type="pct"/>
            <w:tcMar>
              <w:left w:w="115" w:type="dxa"/>
              <w:right w:w="0" w:type="dxa"/>
            </w:tcMar>
          </w:tcPr>
          <w:p w14:paraId="3A7C093B" w14:textId="77777777" w:rsidR="00DA1B5E" w:rsidRPr="00664CC7" w:rsidRDefault="00DA1B5E" w:rsidP="00664CC7">
            <w:pPr>
              <w:rPr>
                <w:color w:val="000000"/>
                <w:lang w:val="en-CA"/>
              </w:rPr>
            </w:pPr>
          </w:p>
        </w:tc>
        <w:tc>
          <w:tcPr>
            <w:tcW w:w="1380" w:type="pct"/>
            <w:gridSpan w:val="2"/>
            <w:shd w:val="clear" w:color="auto" w:fill="D9D9D9"/>
            <w:tcMar>
              <w:left w:w="115" w:type="dxa"/>
              <w:right w:w="0" w:type="dxa"/>
            </w:tcMar>
          </w:tcPr>
          <w:p w14:paraId="437AE4E4" w14:textId="77777777" w:rsidR="00DA1B5E" w:rsidRPr="00664CC7" w:rsidRDefault="00DA1B5E" w:rsidP="00664CC7">
            <w:pPr>
              <w:rPr>
                <w:b/>
                <w:color w:val="000000"/>
                <w:lang w:val="en-CA"/>
              </w:rPr>
            </w:pPr>
            <w:r w:rsidRPr="00664CC7">
              <w:rPr>
                <w:b/>
                <w:color w:val="000000"/>
                <w:lang w:val="en-CA"/>
              </w:rPr>
              <w:t>Servicing/manufacturing</w:t>
            </w:r>
          </w:p>
        </w:tc>
        <w:tc>
          <w:tcPr>
            <w:tcW w:w="480" w:type="pct"/>
            <w:gridSpan w:val="2"/>
          </w:tcPr>
          <w:p w14:paraId="5CABCB1B" w14:textId="77777777" w:rsidR="00DA1B5E" w:rsidRPr="00664CC7" w:rsidRDefault="00DA1B5E" w:rsidP="00664CC7">
            <w:pPr>
              <w:rPr>
                <w:color w:val="000000"/>
                <w:lang w:val="en-CA"/>
              </w:rPr>
            </w:pPr>
          </w:p>
        </w:tc>
      </w:tr>
    </w:tbl>
    <w:p w14:paraId="7E840BEC" w14:textId="77777777" w:rsidR="0043325E" w:rsidRPr="00664CC7" w:rsidRDefault="0043325E" w:rsidP="00664CC7">
      <w:pPr>
        <w:rPr>
          <w:rFonts w:eastAsia="SimSun"/>
          <w:color w:val="000000"/>
          <w:lang w:val="en-CA" w:eastAsia="zh-CN"/>
        </w:rPr>
        <w:sectPr w:rsidR="0043325E" w:rsidRPr="00664CC7" w:rsidSect="003D4CDF">
          <w:headerReference w:type="even" r:id="rId11"/>
          <w:headerReference w:type="default" r:id="rId12"/>
          <w:type w:val="continuous"/>
          <w:pgSz w:w="12240" w:h="15840" w:code="1"/>
          <w:pgMar w:top="1440" w:right="1440" w:bottom="1440" w:left="1440" w:header="720" w:footer="475" w:gutter="0"/>
          <w:cols w:space="720"/>
          <w:titlePg/>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5"/>
      </w:tblGrid>
      <w:tr w:rsidR="006835FA" w:rsidRPr="00664CC7" w14:paraId="79A8DB64" w14:textId="77777777" w:rsidTr="001F2E2B">
        <w:tc>
          <w:tcPr>
            <w:tcW w:w="9355" w:type="dxa"/>
            <w:shd w:val="pct15" w:color="auto" w:fill="auto"/>
          </w:tcPr>
          <w:p w14:paraId="3286D512" w14:textId="1B96CD3C" w:rsidR="006835FA" w:rsidRPr="00664CC7" w:rsidRDefault="003566C9" w:rsidP="00664CC7">
            <w:pPr>
              <w:pStyle w:val="ListParagraph"/>
              <w:keepNext/>
              <w:numPr>
                <w:ilvl w:val="0"/>
                <w:numId w:val="15"/>
              </w:numPr>
              <w:tabs>
                <w:tab w:val="left" w:pos="721"/>
                <w:tab w:val="right" w:pos="9252"/>
              </w:tabs>
              <w:autoSpaceDE w:val="0"/>
              <w:autoSpaceDN w:val="0"/>
              <w:adjustRightInd w:val="0"/>
              <w:ind w:left="0" w:firstLine="0"/>
              <w:rPr>
                <w:rFonts w:eastAsia="SimSun"/>
                <w:b/>
                <w:color w:val="000000"/>
                <w:lang w:val="fr-CA" w:eastAsia="zh-CN"/>
              </w:rPr>
            </w:pPr>
            <w:r w:rsidRPr="00664CC7">
              <w:rPr>
                <w:rFonts w:eastAsia="SimSun"/>
                <w:b/>
                <w:color w:val="000000"/>
                <w:lang w:val="fr-CA" w:eastAsia="zh-CN"/>
              </w:rPr>
              <w:lastRenderedPageBreak/>
              <w:t xml:space="preserve">TRANCHE IMPLEMENTATION REPORT </w:t>
            </w:r>
            <w:r w:rsidR="00E5533B" w:rsidRPr="00664CC7">
              <w:rPr>
                <w:rFonts w:eastAsia="SimSun"/>
                <w:b/>
                <w:color w:val="000000"/>
                <w:lang w:val="fr-CA" w:eastAsia="zh-CN"/>
              </w:rPr>
              <w:tab/>
            </w:r>
          </w:p>
        </w:tc>
      </w:tr>
    </w:tbl>
    <w:p w14:paraId="5DF592F2" w14:textId="77777777" w:rsidR="006835FA" w:rsidRPr="00664CC7" w:rsidRDefault="006835FA" w:rsidP="00664CC7">
      <w:pPr>
        <w:keepNext/>
        <w:autoSpaceDE w:val="0"/>
        <w:autoSpaceDN w:val="0"/>
        <w:adjustRightInd w:val="0"/>
        <w:rPr>
          <w:rFonts w:eastAsia="SimSun"/>
          <w:color w:val="000000"/>
          <w:lang w:val="fr-CA" w:eastAsia="zh-CN"/>
        </w:rPr>
      </w:pPr>
    </w:p>
    <w:p w14:paraId="6CA1AEBF" w14:textId="76378763" w:rsidR="00CC75BB" w:rsidRDefault="00A37350" w:rsidP="00664CC7">
      <w:pPr>
        <w:keepNext/>
        <w:tabs>
          <w:tab w:val="left" w:pos="720"/>
          <w:tab w:val="right" w:pos="9360"/>
        </w:tabs>
        <w:autoSpaceDE w:val="0"/>
        <w:autoSpaceDN w:val="0"/>
        <w:adjustRightInd w:val="0"/>
        <w:spacing w:after="120"/>
        <w:rPr>
          <w:rFonts w:eastAsia="SimSun"/>
          <w:b/>
          <w:color w:val="000000"/>
          <w:lang w:val="en-CA" w:eastAsia="zh-CN"/>
        </w:rPr>
      </w:pPr>
      <w:r w:rsidRPr="00664CC7">
        <w:rPr>
          <w:rFonts w:eastAsia="SimSun"/>
          <w:b/>
          <w:color w:val="000000"/>
          <w:lang w:val="en-CA" w:eastAsia="zh-CN"/>
        </w:rPr>
        <w:t>I.1</w:t>
      </w:r>
      <w:r w:rsidRPr="00664CC7">
        <w:rPr>
          <w:rFonts w:eastAsia="SimSun"/>
          <w:b/>
          <w:color w:val="000000"/>
          <w:lang w:val="en-CA" w:eastAsia="zh-CN"/>
        </w:rPr>
        <w:tab/>
        <w:t>Background</w:t>
      </w:r>
    </w:p>
    <w:p w14:paraId="523804D6" w14:textId="77777777" w:rsidR="009D1F12" w:rsidRDefault="00CC75BB" w:rsidP="009D1F12">
      <w:pPr>
        <w:spacing w:before="240"/>
      </w:pPr>
      <w:r w:rsidRPr="00CC75BB">
        <w:t xml:space="preserve">On 21 March 1996, Georgia became a party to the Vienna Convention for the Protection of the Ozone Layer and the Montreal Protocol on Substances that Deplete the Ozone Layer, followed by the ratification of London, Copenhagen, Montreal, Beijing and Kigali amendments to the Protocol by the country. </w:t>
      </w:r>
    </w:p>
    <w:p w14:paraId="7AC27A34" w14:textId="682E45C8" w:rsidR="00CC75BB" w:rsidRPr="00CC75BB" w:rsidRDefault="00CC75BB" w:rsidP="009D1F12">
      <w:pPr>
        <w:spacing w:before="240"/>
      </w:pPr>
      <w:r w:rsidRPr="00CC75BB">
        <w:t xml:space="preserve">Since 2006 the United Nations </w:t>
      </w:r>
      <w:r w:rsidR="00B03FB5">
        <w:t xml:space="preserve">Development </w:t>
      </w:r>
      <w:r w:rsidRPr="00CC75BB">
        <w:t xml:space="preserve">Programme for Georgia (UNDP Georgia) has been pro-actively assisting the Government of Georgia (GoG) in fulfilling ODS phase-out obligations. More specifically, jointly with Ministry of Environmental Protection and Agriculture (MEPA), it has been carrying out the Enabling Activities (EA) Programme for the Implementation of the Montreal Protocol. The Programme supports the GoG in meeting its obligations under the Montreal Protocol of the Vienna Convection, through implementing </w:t>
      </w:r>
      <w:proofErr w:type="gramStart"/>
      <w:r w:rsidRPr="00CC75BB">
        <w:t>a number of</w:t>
      </w:r>
      <w:proofErr w:type="gramEnd"/>
      <w:r w:rsidRPr="00CC75BB">
        <w:t xml:space="preserve"> horizontal and specific measures, including legal-regulatory and policy, institutional strengthening (IS)/capacity building (CB), ODS phase-out investment (demonstration projects), public awareness, coordination, monitoring and evaluation measures.   </w:t>
      </w:r>
    </w:p>
    <w:p w14:paraId="11D709D7" w14:textId="77777777" w:rsidR="00CC75BB" w:rsidRPr="00CC75BB" w:rsidRDefault="00CC75BB" w:rsidP="00CC75BB">
      <w:pPr>
        <w:spacing w:before="120"/>
      </w:pPr>
      <w:r w:rsidRPr="00CC75BB">
        <w:t xml:space="preserve">In 2011, taking into consideration that: </w:t>
      </w:r>
      <w:proofErr w:type="spellStart"/>
      <w:r w:rsidRPr="00CC75BB">
        <w:t>i</w:t>
      </w:r>
      <w:proofErr w:type="spellEnd"/>
      <w:r w:rsidRPr="00CC75BB">
        <w:t>) Georgia is not HCFC producer, relying entirely on imports of these substances for the consumption by refrigeration and air condition (RAC)service and solvent sectors and, ii) by 2010 Georgia consumed 83.9 metric tonnes (MT) of HCFC22 in RAC servicing sector and 11 MT of HCFC142b in solvent sector annually as a baseline level, the GoG with a support of UNDP EA programme, adopted a two-phased (Stage I and II) HCFC Phase-out Management Plan (HPMP). The Plan aims at sustained and cost-effective phase-out of HCFCs and allows for 35% reduction of HCFC consumption by 2020, in its first stage, and, in its second stage, continuation of HCFC elimination until reaching the overall consumption reduction rate of 97.5% by 2030 and keeping 2.5 % of the baseline consumption for servicing needs until 2040.</w:t>
      </w:r>
    </w:p>
    <w:p w14:paraId="01A134C8" w14:textId="3A63FE24" w:rsidR="00CC75BB" w:rsidRPr="00CC75BB" w:rsidRDefault="00CC75BB" w:rsidP="00CC75BB">
      <w:pPr>
        <w:spacing w:before="120"/>
      </w:pPr>
      <w:r w:rsidRPr="00CC75BB">
        <w:t>The Stage I of the HPMP (HPMP-I), covering the period of 2011-202</w:t>
      </w:r>
      <w:r>
        <w:t>0</w:t>
      </w:r>
      <w:r w:rsidRPr="00CC75BB">
        <w:t xml:space="preserve"> aimed at supporting commitment of Georgia to freeze HCFCs consumption in 2013 and gradually reduce consumption by 10% and 35% by 2015 and 2020 respectively. </w:t>
      </w:r>
    </w:p>
    <w:p w14:paraId="20728E90" w14:textId="77777777" w:rsidR="00CC75BB" w:rsidRPr="00CC75BB" w:rsidRDefault="00CC75BB" w:rsidP="00CC75BB">
      <w:pPr>
        <w:spacing w:before="120"/>
      </w:pPr>
      <w:r w:rsidRPr="00CC75BB">
        <w:t xml:space="preserve">Concrete HPMP Stage-1 targets for the implementation of the Montreal Protocol were as follows: </w:t>
      </w:r>
    </w:p>
    <w:p w14:paraId="65D3DCBD" w14:textId="77777777" w:rsidR="00CC75BB" w:rsidRPr="00CC75BB" w:rsidRDefault="00CC75BB" w:rsidP="00FA316F">
      <w:pPr>
        <w:pStyle w:val="ListParagraph"/>
        <w:numPr>
          <w:ilvl w:val="0"/>
          <w:numId w:val="23"/>
        </w:numPr>
        <w:ind w:left="714" w:hanging="357"/>
        <w:contextualSpacing w:val="0"/>
      </w:pPr>
      <w:r w:rsidRPr="00CC75BB">
        <w:t xml:space="preserve">to freeze the HCFC-22 consumption in 2013 at a basic level of 83.1 </w:t>
      </w:r>
      <w:proofErr w:type="spellStart"/>
      <w:r w:rsidRPr="00CC75BB">
        <w:t>mt</w:t>
      </w:r>
      <w:proofErr w:type="spellEnd"/>
      <w:r w:rsidRPr="00CC75BB">
        <w:t xml:space="preserve"> equivalent to 5.21 ODP (ozone depleting potential) tonnes (equal to weighted average annual consumption in 2009-2010</w:t>
      </w:r>
      <w:proofErr w:type="gramStart"/>
      <w:r w:rsidRPr="00CC75BB">
        <w:t>);</w:t>
      </w:r>
      <w:proofErr w:type="gramEnd"/>
    </w:p>
    <w:p w14:paraId="0BC82D5F" w14:textId="77777777" w:rsidR="00CC75BB" w:rsidRPr="00CC75BB" w:rsidRDefault="00CC75BB" w:rsidP="00FA316F">
      <w:pPr>
        <w:pStyle w:val="ListParagraph"/>
        <w:numPr>
          <w:ilvl w:val="0"/>
          <w:numId w:val="23"/>
        </w:numPr>
        <w:ind w:left="714" w:hanging="357"/>
        <w:contextualSpacing w:val="0"/>
      </w:pPr>
      <w:r w:rsidRPr="00CC75BB">
        <w:t xml:space="preserve">to reduce HCFC-22 </w:t>
      </w:r>
      <w:proofErr w:type="gramStart"/>
      <w:r w:rsidRPr="00CC75BB">
        <w:t>consumption  by</w:t>
      </w:r>
      <w:proofErr w:type="gramEnd"/>
      <w:r w:rsidRPr="00CC75BB">
        <w:t xml:space="preserve"> 10% to 74.8  </w:t>
      </w:r>
      <w:proofErr w:type="spellStart"/>
      <w:r w:rsidRPr="00CC75BB">
        <w:t>mt</w:t>
      </w:r>
      <w:proofErr w:type="spellEnd"/>
      <w:r w:rsidRPr="00CC75BB">
        <w:t xml:space="preserve"> equivalent to 4.8 ODP tons in 2015;</w:t>
      </w:r>
    </w:p>
    <w:p w14:paraId="1981441F" w14:textId="77777777" w:rsidR="00CC75BB" w:rsidRPr="00CC75BB" w:rsidRDefault="00CC75BB" w:rsidP="00FA316F">
      <w:pPr>
        <w:pStyle w:val="ListParagraph"/>
        <w:numPr>
          <w:ilvl w:val="0"/>
          <w:numId w:val="23"/>
        </w:numPr>
        <w:ind w:left="714" w:hanging="357"/>
        <w:contextualSpacing w:val="0"/>
      </w:pPr>
      <w:r w:rsidRPr="00CC75BB">
        <w:t xml:space="preserve">to reduce HCFC-22 consumption by 35% to 54.0 </w:t>
      </w:r>
      <w:proofErr w:type="spellStart"/>
      <w:r w:rsidRPr="00CC75BB">
        <w:t>mt</w:t>
      </w:r>
      <w:proofErr w:type="spellEnd"/>
      <w:r w:rsidRPr="00CC75BB">
        <w:t xml:space="preserve"> equivalent to 4.8 ODP tons in </w:t>
      </w:r>
      <w:proofErr w:type="gramStart"/>
      <w:r w:rsidRPr="00CC75BB">
        <w:t>2020;</w:t>
      </w:r>
      <w:proofErr w:type="gramEnd"/>
    </w:p>
    <w:p w14:paraId="0F1F0BFE" w14:textId="77777777" w:rsidR="00CC75BB" w:rsidRPr="00CC75BB" w:rsidRDefault="00CC75BB" w:rsidP="00FA316F">
      <w:pPr>
        <w:pStyle w:val="ListParagraph"/>
        <w:numPr>
          <w:ilvl w:val="0"/>
          <w:numId w:val="23"/>
        </w:numPr>
        <w:ind w:left="714" w:hanging="357"/>
        <w:contextualSpacing w:val="0"/>
      </w:pPr>
      <w:r w:rsidRPr="00CC75BB">
        <w:t>to stop HCFC142b consumption since January the 1st 2016.</w:t>
      </w:r>
    </w:p>
    <w:p w14:paraId="70A1E8F3" w14:textId="3B03AE4E" w:rsidR="00922F56" w:rsidRPr="00922F56" w:rsidRDefault="00922F56" w:rsidP="00922F56">
      <w:pPr>
        <w:spacing w:before="120"/>
      </w:pPr>
      <w:r w:rsidRPr="00922F56">
        <w:t xml:space="preserve">Stage II is intended to serve as a direct implementation instrument of the country’s policy and commitment to meet its obligations under the Montreal Protocol. Its architecture includes both non-investment and investment components. Since Georgia has successfully taken the challenge of the total phase-out of HCFC 142b, the component of the Strategy which has been focusing on the technical assistance in the solvent sector, has been completed and discontinued. Therefore, the remaining eligible HCFC consumption has centred around the servicing sector, and HCFC-22, in particular. The Phase-out plan for Stage II will place greater emphasis on the market transition in favour of more efficient low-GWP equipment that entails creating enabling environment with legislative changes, enhancement of safety standards, capacity building and other activities. The Plan will focus on further capacity building to support enhanced collection, recycling and recovery of HCFC/ODS that represents a challenge for the country. Policy, regulatory and institutional support, that is a key dimension of the Overarching Strategy, will also look at the Public Procurement (PP) with the aim to gradually eliminate dependence on HCFCs in the public sector and to promote zero/low GWP refrigeration alternatives in public procurement activities. Stage II will also reinforce the efforts </w:t>
      </w:r>
      <w:proofErr w:type="gramStart"/>
      <w:r w:rsidRPr="00922F56">
        <w:t>in the area of</w:t>
      </w:r>
      <w:proofErr w:type="gramEnd"/>
      <w:r w:rsidRPr="00922F56">
        <w:t xml:space="preserve"> development of professional standards of technicians and strengthening vocational education and training in Air Conditioning &amp; Refrigeration. The Phase-out plan will pay particular attention to supporting the intersectoral dialogue and cooperation among the National Ozone Unit and Policymakers from various departments of the Ministry of Environmental Protection and Agriculture (MEPA), the Ministry of Economy and Sustainable Development (MoESD) and Ministry of Finances (MoF</w:t>
      </w:r>
      <w:r>
        <w:t>).</w:t>
      </w:r>
      <w:r w:rsidRPr="00922F56">
        <w:t xml:space="preserve"> Technical assistance to support good servicing practices </w:t>
      </w:r>
      <w:r w:rsidRPr="00922F56">
        <w:lastRenderedPageBreak/>
        <w:t xml:space="preserve">in the refrigeration sector will continue to provide support in equipping law enforcement agencies and service centres, as well as vocational schools. </w:t>
      </w:r>
    </w:p>
    <w:p w14:paraId="4EF13BE4" w14:textId="77777777" w:rsidR="00FE300C" w:rsidRDefault="00FE300C" w:rsidP="00922F56">
      <w:pPr>
        <w:spacing w:before="120"/>
      </w:pPr>
    </w:p>
    <w:p w14:paraId="62628183" w14:textId="200FC5F0" w:rsidR="00174C31" w:rsidRDefault="00FE300C" w:rsidP="00922F56">
      <w:pPr>
        <w:rPr>
          <w:rFonts w:eastAsia="SimSun"/>
          <w:color w:val="000000"/>
          <w:lang w:val="en-CA" w:eastAsia="zh-CN"/>
        </w:rPr>
      </w:pPr>
      <w:r>
        <w:rPr>
          <w:lang w:eastAsia="ro-RO"/>
        </w:rPr>
        <w:t>Implementation of the HPMP – II started in 2022</w:t>
      </w:r>
      <w:r w:rsidR="00A81D5F">
        <w:rPr>
          <w:lang w:eastAsia="ro-RO"/>
        </w:rPr>
        <w:t>.</w:t>
      </w:r>
      <w:r w:rsidR="00922F56">
        <w:rPr>
          <w:lang w:eastAsia="ro-RO"/>
        </w:rPr>
        <w:t xml:space="preserve"> </w:t>
      </w:r>
      <w:r w:rsidR="000310C9" w:rsidRPr="00664CC7">
        <w:rPr>
          <w:rFonts w:eastAsia="SimSun"/>
          <w:color w:val="000000"/>
          <w:lang w:val="en-CA" w:eastAsia="zh-CN"/>
        </w:rPr>
        <w:t xml:space="preserve">The table below reports the total level of funding approved </w:t>
      </w:r>
      <w:r w:rsidR="00922F56">
        <w:rPr>
          <w:rFonts w:eastAsia="SimSun"/>
          <w:color w:val="000000"/>
          <w:lang w:val="en-CA" w:eastAsia="zh-CN"/>
        </w:rPr>
        <w:t xml:space="preserve">for HPMP – II disaggregated by tranches: </w:t>
      </w:r>
    </w:p>
    <w:p w14:paraId="016F9419" w14:textId="77777777" w:rsidR="00922F56" w:rsidRPr="00922F56" w:rsidRDefault="00922F56" w:rsidP="00922F56">
      <w:pPr>
        <w:rPr>
          <w:lang w:eastAsia="ro-RO"/>
        </w:rPr>
      </w:pPr>
    </w:p>
    <w:tbl>
      <w:tblPr>
        <w:tblW w:w="3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1445"/>
        <w:gridCol w:w="1351"/>
        <w:gridCol w:w="1351"/>
        <w:gridCol w:w="1528"/>
      </w:tblGrid>
      <w:tr w:rsidR="00922F56" w:rsidRPr="00463D22" w14:paraId="0DFE63BF" w14:textId="77777777" w:rsidTr="00922F56">
        <w:trPr>
          <w:trHeight w:val="886"/>
          <w:tblHeader/>
        </w:trPr>
        <w:tc>
          <w:tcPr>
            <w:tcW w:w="1105" w:type="pct"/>
            <w:tcBorders>
              <w:bottom w:val="single" w:sz="4" w:space="0" w:color="auto"/>
            </w:tcBorders>
            <w:shd w:val="clear" w:color="auto" w:fill="FFFFC8"/>
            <w:vAlign w:val="center"/>
            <w:hideMark/>
          </w:tcPr>
          <w:p w14:paraId="6DFEEDBD" w14:textId="77777777" w:rsidR="00922F56" w:rsidRPr="00463D22" w:rsidRDefault="00922F56" w:rsidP="00476592">
            <w:pPr>
              <w:jc w:val="center"/>
              <w:rPr>
                <w:b/>
                <w:bCs/>
                <w:color w:val="000000"/>
                <w:lang w:val="en-US"/>
              </w:rPr>
            </w:pPr>
            <w:bookmarkStart w:id="0" w:name="_Hlk119607010"/>
            <w:r w:rsidRPr="00463D22">
              <w:rPr>
                <w:b/>
                <w:bCs/>
                <w:color w:val="000000"/>
                <w:lang w:val="en-US"/>
              </w:rPr>
              <w:t xml:space="preserve">Tranche 1 </w:t>
            </w:r>
          </w:p>
        </w:tc>
        <w:tc>
          <w:tcPr>
            <w:tcW w:w="992" w:type="pct"/>
            <w:tcBorders>
              <w:bottom w:val="single" w:sz="4" w:space="0" w:color="auto"/>
            </w:tcBorders>
            <w:shd w:val="clear" w:color="auto" w:fill="FFFFC8"/>
            <w:vAlign w:val="center"/>
            <w:hideMark/>
          </w:tcPr>
          <w:p w14:paraId="67F35D53" w14:textId="77777777" w:rsidR="00922F56" w:rsidRPr="00463D22" w:rsidRDefault="00922F56" w:rsidP="00476592">
            <w:pPr>
              <w:jc w:val="center"/>
              <w:rPr>
                <w:b/>
                <w:bCs/>
                <w:color w:val="000000"/>
                <w:lang w:val="en-US"/>
              </w:rPr>
            </w:pPr>
            <w:r w:rsidRPr="00463D22">
              <w:rPr>
                <w:b/>
                <w:bCs/>
                <w:color w:val="000000"/>
                <w:lang w:val="en-US"/>
              </w:rPr>
              <w:t xml:space="preserve">Tranche 2 </w:t>
            </w:r>
          </w:p>
        </w:tc>
        <w:tc>
          <w:tcPr>
            <w:tcW w:w="927" w:type="pct"/>
            <w:tcBorders>
              <w:bottom w:val="single" w:sz="4" w:space="0" w:color="auto"/>
            </w:tcBorders>
            <w:shd w:val="clear" w:color="auto" w:fill="FFFFC8"/>
            <w:vAlign w:val="center"/>
            <w:hideMark/>
          </w:tcPr>
          <w:p w14:paraId="7E50281E" w14:textId="77777777" w:rsidR="00922F56" w:rsidRPr="00463D22" w:rsidRDefault="00922F56" w:rsidP="00476592">
            <w:pPr>
              <w:jc w:val="center"/>
              <w:rPr>
                <w:b/>
                <w:bCs/>
                <w:color w:val="000000"/>
                <w:lang w:val="en-US"/>
              </w:rPr>
            </w:pPr>
            <w:r w:rsidRPr="00463D22">
              <w:rPr>
                <w:b/>
                <w:bCs/>
                <w:color w:val="000000"/>
                <w:lang w:val="en-US"/>
              </w:rPr>
              <w:t xml:space="preserve">Tranche 3 </w:t>
            </w:r>
          </w:p>
        </w:tc>
        <w:tc>
          <w:tcPr>
            <w:tcW w:w="927" w:type="pct"/>
            <w:tcBorders>
              <w:bottom w:val="single" w:sz="4" w:space="0" w:color="auto"/>
            </w:tcBorders>
            <w:shd w:val="clear" w:color="auto" w:fill="FFFFC8"/>
            <w:vAlign w:val="center"/>
            <w:hideMark/>
          </w:tcPr>
          <w:p w14:paraId="64200779" w14:textId="77777777" w:rsidR="00922F56" w:rsidRPr="00463D22" w:rsidRDefault="00922F56" w:rsidP="00476592">
            <w:pPr>
              <w:jc w:val="center"/>
              <w:rPr>
                <w:b/>
                <w:bCs/>
                <w:color w:val="000000"/>
                <w:lang w:val="en-US"/>
              </w:rPr>
            </w:pPr>
            <w:r w:rsidRPr="00463D22">
              <w:rPr>
                <w:b/>
                <w:bCs/>
                <w:color w:val="000000"/>
                <w:lang w:val="en-US"/>
              </w:rPr>
              <w:t>Tranche 4</w:t>
            </w:r>
          </w:p>
        </w:tc>
        <w:tc>
          <w:tcPr>
            <w:tcW w:w="1050" w:type="pct"/>
            <w:shd w:val="clear" w:color="auto" w:fill="FFFFC8"/>
            <w:vAlign w:val="center"/>
            <w:hideMark/>
          </w:tcPr>
          <w:p w14:paraId="3BCBA179" w14:textId="77777777" w:rsidR="00922F56" w:rsidRPr="00463D22" w:rsidRDefault="00922F56" w:rsidP="00476592">
            <w:pPr>
              <w:jc w:val="left"/>
              <w:rPr>
                <w:b/>
                <w:bCs/>
                <w:color w:val="000000"/>
                <w:lang w:val="en-US"/>
              </w:rPr>
            </w:pPr>
            <w:r>
              <w:rPr>
                <w:b/>
                <w:bCs/>
                <w:color w:val="000000"/>
                <w:lang w:val="en-US"/>
              </w:rPr>
              <w:t>Total for HPMP - II</w:t>
            </w:r>
          </w:p>
        </w:tc>
      </w:tr>
      <w:tr w:rsidR="00922F56" w:rsidRPr="00463D22" w14:paraId="040D6883" w14:textId="77777777" w:rsidTr="00922F56">
        <w:trPr>
          <w:trHeight w:val="20"/>
          <w:tblHeader/>
        </w:trPr>
        <w:tc>
          <w:tcPr>
            <w:tcW w:w="1105" w:type="pct"/>
            <w:shd w:val="clear" w:color="auto" w:fill="FFFFC8"/>
            <w:vAlign w:val="center"/>
            <w:hideMark/>
          </w:tcPr>
          <w:p w14:paraId="7345401E" w14:textId="77777777" w:rsidR="00922F56" w:rsidRPr="00463D22" w:rsidRDefault="00922F56" w:rsidP="00476592">
            <w:pPr>
              <w:jc w:val="center"/>
              <w:rPr>
                <w:b/>
                <w:bCs/>
                <w:color w:val="000000"/>
                <w:lang w:val="en-US"/>
              </w:rPr>
            </w:pPr>
            <w:r w:rsidRPr="00463D22">
              <w:rPr>
                <w:b/>
                <w:bCs/>
                <w:color w:val="000000"/>
                <w:lang w:val="en-US"/>
              </w:rPr>
              <w:t>2022 - 2024</w:t>
            </w:r>
          </w:p>
        </w:tc>
        <w:tc>
          <w:tcPr>
            <w:tcW w:w="992" w:type="pct"/>
            <w:shd w:val="clear" w:color="auto" w:fill="FFFFC8"/>
            <w:vAlign w:val="center"/>
            <w:hideMark/>
          </w:tcPr>
          <w:p w14:paraId="42B9C5C5" w14:textId="77777777" w:rsidR="00922F56" w:rsidRPr="00463D22" w:rsidRDefault="00922F56" w:rsidP="00476592">
            <w:pPr>
              <w:jc w:val="center"/>
              <w:rPr>
                <w:b/>
                <w:bCs/>
                <w:color w:val="000000"/>
                <w:lang w:val="en-US"/>
              </w:rPr>
            </w:pPr>
            <w:r w:rsidRPr="00463D22">
              <w:rPr>
                <w:b/>
                <w:bCs/>
                <w:color w:val="000000"/>
                <w:lang w:val="en-US"/>
              </w:rPr>
              <w:t>2025 - 2027</w:t>
            </w:r>
          </w:p>
        </w:tc>
        <w:tc>
          <w:tcPr>
            <w:tcW w:w="927" w:type="pct"/>
            <w:shd w:val="clear" w:color="auto" w:fill="FFFFC8"/>
            <w:vAlign w:val="center"/>
            <w:hideMark/>
          </w:tcPr>
          <w:p w14:paraId="6BE4EE9B" w14:textId="77777777" w:rsidR="00922F56" w:rsidRPr="00463D22" w:rsidRDefault="00922F56" w:rsidP="00476592">
            <w:pPr>
              <w:jc w:val="center"/>
              <w:rPr>
                <w:b/>
                <w:bCs/>
                <w:color w:val="000000"/>
                <w:lang w:val="en-US"/>
              </w:rPr>
            </w:pPr>
            <w:r w:rsidRPr="00463D22">
              <w:rPr>
                <w:b/>
                <w:bCs/>
                <w:color w:val="000000"/>
                <w:lang w:val="en-US"/>
              </w:rPr>
              <w:t>2028 -2029</w:t>
            </w:r>
          </w:p>
        </w:tc>
        <w:tc>
          <w:tcPr>
            <w:tcW w:w="927" w:type="pct"/>
            <w:shd w:val="clear" w:color="auto" w:fill="FFFFC8"/>
            <w:vAlign w:val="center"/>
            <w:hideMark/>
          </w:tcPr>
          <w:p w14:paraId="48A29A8F" w14:textId="77777777" w:rsidR="00922F56" w:rsidRPr="00463D22" w:rsidRDefault="00922F56" w:rsidP="00476592">
            <w:pPr>
              <w:jc w:val="center"/>
              <w:rPr>
                <w:b/>
                <w:bCs/>
                <w:color w:val="000000"/>
                <w:lang w:val="en-US"/>
              </w:rPr>
            </w:pPr>
            <w:r w:rsidRPr="00463D22">
              <w:rPr>
                <w:b/>
                <w:bCs/>
                <w:color w:val="000000"/>
                <w:lang w:val="en-US"/>
              </w:rPr>
              <w:t>2030</w:t>
            </w:r>
          </w:p>
        </w:tc>
        <w:tc>
          <w:tcPr>
            <w:tcW w:w="1050" w:type="pct"/>
            <w:shd w:val="clear" w:color="auto" w:fill="FFFFC8"/>
            <w:vAlign w:val="center"/>
            <w:hideMark/>
          </w:tcPr>
          <w:p w14:paraId="2110294E" w14:textId="77777777" w:rsidR="00922F56" w:rsidRPr="00463D22" w:rsidRDefault="00922F56" w:rsidP="00476592">
            <w:pPr>
              <w:jc w:val="left"/>
              <w:rPr>
                <w:b/>
                <w:bCs/>
                <w:color w:val="000000"/>
                <w:lang w:val="en-US"/>
              </w:rPr>
            </w:pPr>
            <w:r>
              <w:rPr>
                <w:b/>
                <w:bCs/>
                <w:color w:val="000000"/>
                <w:lang w:val="en-US"/>
              </w:rPr>
              <w:t>2022-2030</w:t>
            </w:r>
          </w:p>
        </w:tc>
      </w:tr>
      <w:tr w:rsidR="00922F56" w:rsidRPr="00463D22" w14:paraId="3DE826CA" w14:textId="77777777" w:rsidTr="00922F56">
        <w:trPr>
          <w:trHeight w:val="20"/>
        </w:trPr>
        <w:tc>
          <w:tcPr>
            <w:tcW w:w="1105" w:type="pct"/>
            <w:shd w:val="clear" w:color="000000" w:fill="D9E1F2"/>
            <w:vAlign w:val="center"/>
            <w:hideMark/>
          </w:tcPr>
          <w:p w14:paraId="116F0E88" w14:textId="77777777" w:rsidR="00922F56" w:rsidRPr="00463D22" w:rsidRDefault="00922F56" w:rsidP="00476592">
            <w:pPr>
              <w:jc w:val="center"/>
              <w:rPr>
                <w:b/>
                <w:bCs/>
                <w:lang w:val="en-US"/>
              </w:rPr>
            </w:pPr>
            <w:bookmarkStart w:id="1" w:name="_Hlk156301634"/>
            <w:r w:rsidRPr="00463D22">
              <w:rPr>
                <w:b/>
                <w:bCs/>
                <w:lang w:val="en-US"/>
              </w:rPr>
              <w:t>190,839</w:t>
            </w:r>
          </w:p>
        </w:tc>
        <w:tc>
          <w:tcPr>
            <w:tcW w:w="992" w:type="pct"/>
            <w:shd w:val="clear" w:color="000000" w:fill="D9E1F2"/>
            <w:vAlign w:val="center"/>
            <w:hideMark/>
          </w:tcPr>
          <w:p w14:paraId="6C8D3FEF" w14:textId="77777777" w:rsidR="00922F56" w:rsidRPr="00463D22" w:rsidRDefault="00922F56" w:rsidP="00476592">
            <w:pPr>
              <w:jc w:val="center"/>
              <w:rPr>
                <w:b/>
                <w:bCs/>
                <w:lang w:val="en-US"/>
              </w:rPr>
            </w:pPr>
            <w:r w:rsidRPr="00463D22">
              <w:rPr>
                <w:b/>
                <w:bCs/>
                <w:lang w:val="en-US"/>
              </w:rPr>
              <w:t>235,962</w:t>
            </w:r>
          </w:p>
        </w:tc>
        <w:tc>
          <w:tcPr>
            <w:tcW w:w="927" w:type="pct"/>
            <w:shd w:val="clear" w:color="000000" w:fill="D9E1F2"/>
            <w:vAlign w:val="center"/>
            <w:hideMark/>
          </w:tcPr>
          <w:p w14:paraId="01DAAD70" w14:textId="77777777" w:rsidR="00922F56" w:rsidRPr="00463D22" w:rsidRDefault="00922F56" w:rsidP="00476592">
            <w:pPr>
              <w:jc w:val="center"/>
              <w:rPr>
                <w:b/>
                <w:bCs/>
                <w:lang w:val="en-US"/>
              </w:rPr>
            </w:pPr>
            <w:r w:rsidRPr="00463D22">
              <w:rPr>
                <w:b/>
                <w:bCs/>
                <w:lang w:val="en-US"/>
              </w:rPr>
              <w:t>98,980</w:t>
            </w:r>
          </w:p>
        </w:tc>
        <w:tc>
          <w:tcPr>
            <w:tcW w:w="927" w:type="pct"/>
            <w:shd w:val="clear" w:color="000000" w:fill="D9E1F2"/>
            <w:vAlign w:val="center"/>
            <w:hideMark/>
          </w:tcPr>
          <w:p w14:paraId="3D3C4DAC" w14:textId="77777777" w:rsidR="00922F56" w:rsidRPr="00463D22" w:rsidRDefault="00922F56" w:rsidP="00476592">
            <w:pPr>
              <w:jc w:val="center"/>
              <w:rPr>
                <w:b/>
                <w:bCs/>
                <w:lang w:val="en-US"/>
              </w:rPr>
            </w:pPr>
            <w:r w:rsidRPr="00463D22">
              <w:rPr>
                <w:b/>
                <w:bCs/>
                <w:lang w:val="en-US"/>
              </w:rPr>
              <w:t>59,218</w:t>
            </w:r>
          </w:p>
        </w:tc>
        <w:tc>
          <w:tcPr>
            <w:tcW w:w="1050" w:type="pct"/>
            <w:shd w:val="clear" w:color="000000" w:fill="D9D9D9"/>
            <w:noWrap/>
            <w:vAlign w:val="center"/>
            <w:hideMark/>
          </w:tcPr>
          <w:p w14:paraId="4D7C8ADD" w14:textId="77777777" w:rsidR="00922F56" w:rsidRPr="00463D22" w:rsidRDefault="00922F56" w:rsidP="00476592">
            <w:pPr>
              <w:jc w:val="center"/>
              <w:rPr>
                <w:b/>
                <w:bCs/>
                <w:lang w:val="en-US"/>
              </w:rPr>
            </w:pPr>
            <w:r w:rsidRPr="00463D22">
              <w:rPr>
                <w:b/>
                <w:bCs/>
                <w:lang w:val="en-US"/>
              </w:rPr>
              <w:t>585,000</w:t>
            </w:r>
          </w:p>
        </w:tc>
      </w:tr>
      <w:bookmarkEnd w:id="0"/>
      <w:bookmarkEnd w:id="1"/>
    </w:tbl>
    <w:p w14:paraId="13B309A0" w14:textId="77777777" w:rsidR="00174C31" w:rsidRPr="00664CC7" w:rsidRDefault="00174C31" w:rsidP="00664CC7">
      <w:pPr>
        <w:pStyle w:val="0Heading0"/>
        <w:jc w:val="both"/>
        <w:rPr>
          <w:rFonts w:eastAsia="SimSun"/>
          <w:color w:val="000000"/>
          <w:lang w:val="en-CA" w:eastAsia="zh-CN"/>
        </w:rPr>
      </w:pPr>
    </w:p>
    <w:p w14:paraId="2CBADAAB" w14:textId="77777777" w:rsidR="003B1031" w:rsidRPr="00664CC7" w:rsidRDefault="003B1031" w:rsidP="00664CC7">
      <w:pPr>
        <w:pStyle w:val="0Heading0"/>
        <w:jc w:val="both"/>
        <w:rPr>
          <w:rFonts w:eastAsia="SimSun"/>
          <w:color w:val="000000"/>
          <w:lang w:val="en-CA" w:eastAsia="zh-CN"/>
        </w:rPr>
      </w:pPr>
    </w:p>
    <w:p w14:paraId="17639064" w14:textId="4FDDE416" w:rsidR="003B1031" w:rsidRPr="00664CC7" w:rsidRDefault="005652E6" w:rsidP="00664CC7">
      <w:pPr>
        <w:pStyle w:val="0Heading0"/>
        <w:keepNext/>
        <w:spacing w:after="120"/>
        <w:jc w:val="both"/>
        <w:rPr>
          <w:rFonts w:eastAsia="SimSun"/>
          <w:b/>
          <w:color w:val="000000"/>
          <w:lang w:val="en-CA" w:eastAsia="zh-CN"/>
        </w:rPr>
      </w:pPr>
      <w:r w:rsidRPr="00664CC7">
        <w:rPr>
          <w:rFonts w:eastAsia="SimSun"/>
          <w:b/>
          <w:color w:val="000000"/>
          <w:lang w:val="en-CA" w:eastAsia="zh-CN"/>
        </w:rPr>
        <w:t>I.2</w:t>
      </w:r>
      <w:r w:rsidR="001F2E2B">
        <w:rPr>
          <w:rFonts w:eastAsia="SimSun"/>
          <w:b/>
          <w:color w:val="000000"/>
          <w:lang w:val="en-CA" w:eastAsia="zh-CN"/>
        </w:rPr>
        <w:t>.</w:t>
      </w:r>
      <w:r w:rsidRPr="00664CC7">
        <w:rPr>
          <w:rFonts w:eastAsia="SimSun"/>
          <w:b/>
          <w:color w:val="000000"/>
          <w:lang w:val="en-CA" w:eastAsia="zh-CN"/>
        </w:rPr>
        <w:tab/>
      </w:r>
      <w:r w:rsidR="00D86C6B" w:rsidRPr="00664CC7">
        <w:rPr>
          <w:rFonts w:eastAsia="SimSun"/>
          <w:b/>
          <w:color w:val="000000"/>
          <w:lang w:val="en-CA" w:eastAsia="zh-CN"/>
        </w:rPr>
        <w:t>ODS policy/legislative/regulatory and institutional framework</w:t>
      </w:r>
    </w:p>
    <w:p w14:paraId="5C419622" w14:textId="0B41FAB0" w:rsidR="009D1F12" w:rsidRPr="00392B30" w:rsidRDefault="005652E6" w:rsidP="00392B30">
      <w:pPr>
        <w:keepNext/>
        <w:tabs>
          <w:tab w:val="left" w:pos="720"/>
          <w:tab w:val="right" w:pos="9360"/>
        </w:tabs>
        <w:spacing w:after="120"/>
        <w:rPr>
          <w:rFonts w:eastAsia="SimSun"/>
          <w:color w:val="000000"/>
          <w:lang w:val="en-CA" w:eastAsia="zh-CN"/>
        </w:rPr>
      </w:pPr>
      <w:r w:rsidRPr="001F2E2B">
        <w:rPr>
          <w:rFonts w:eastAsia="SimSun"/>
          <w:b/>
          <w:bCs/>
          <w:color w:val="000000"/>
          <w:lang w:val="en-CA" w:eastAsia="zh-CN"/>
        </w:rPr>
        <w:t>I.2.</w:t>
      </w:r>
      <w:r w:rsidR="0014166A" w:rsidRPr="001F2E2B">
        <w:rPr>
          <w:rFonts w:eastAsia="SimSun"/>
          <w:b/>
          <w:bCs/>
          <w:color w:val="000000"/>
          <w:lang w:val="en-CA" w:eastAsia="zh-CN"/>
        </w:rPr>
        <w:t>1</w:t>
      </w:r>
      <w:r w:rsidR="001F2E2B">
        <w:rPr>
          <w:rFonts w:eastAsia="SimSun"/>
          <w:b/>
          <w:bCs/>
          <w:color w:val="000000"/>
          <w:lang w:val="en-CA" w:eastAsia="zh-CN"/>
        </w:rPr>
        <w:t>.</w:t>
      </w:r>
      <w:r w:rsidRPr="00664CC7">
        <w:rPr>
          <w:rFonts w:eastAsia="SimSun"/>
          <w:color w:val="000000"/>
          <w:lang w:val="en-CA" w:eastAsia="zh-CN"/>
        </w:rPr>
        <w:tab/>
      </w:r>
      <w:r w:rsidR="00646069" w:rsidRPr="00E052D5">
        <w:rPr>
          <w:rFonts w:eastAsia="SimSun"/>
          <w:b/>
          <w:color w:val="000000"/>
          <w:lang w:eastAsia="zh-CN"/>
        </w:rPr>
        <w:t>Status of Ratification of Amendments to the Montreal Protocol</w:t>
      </w:r>
      <w:r w:rsidR="003B1031" w:rsidRPr="00664CC7">
        <w:rPr>
          <w:rFonts w:eastAsia="SimSun"/>
          <w:b/>
          <w:color w:val="000000"/>
          <w:lang w:val="en-CA" w:eastAsia="zh-CN"/>
        </w:rPr>
        <w:tab/>
      </w:r>
    </w:p>
    <w:p w14:paraId="02B4B94E" w14:textId="77777777" w:rsidR="005D3462" w:rsidRDefault="00392B30" w:rsidP="009D1F12">
      <w:pPr>
        <w:spacing w:before="240"/>
      </w:pPr>
      <w:r>
        <w:t xml:space="preserve">After </w:t>
      </w:r>
      <w:r w:rsidR="009D1F12" w:rsidRPr="00CC75BB">
        <w:t xml:space="preserve">21 March 1996, </w:t>
      </w:r>
      <w:r>
        <w:t xml:space="preserve">when </w:t>
      </w:r>
      <w:r w:rsidR="009D1F12" w:rsidRPr="00CC75BB">
        <w:t xml:space="preserve">Georgia became a party to the Vienna Convention for the Protection of the Ozone Layer and the Montreal Protocol on Substances that Deplete the Ozone Layer, London, Copenhagen, Montreal, Beijing and Kigali amendments </w:t>
      </w:r>
      <w:r>
        <w:t>had been ratified</w:t>
      </w:r>
      <w:r w:rsidR="005D3462">
        <w:t xml:space="preserve"> by Country</w:t>
      </w:r>
      <w:r w:rsidR="009D1F12" w:rsidRPr="00CC75BB">
        <w:t xml:space="preserve">. </w:t>
      </w:r>
    </w:p>
    <w:p w14:paraId="4F560255" w14:textId="6A358B53" w:rsidR="009D1F12" w:rsidRPr="00CC75BB" w:rsidRDefault="009D1F12" w:rsidP="005D3462">
      <w:pPr>
        <w:spacing w:before="240"/>
      </w:pPr>
      <w:r w:rsidRPr="00CC75BB">
        <w:t xml:space="preserve">Table below shows details on the ratification of key international legal instruments by Georgia, related to the Vienna Convention and Montreal Protocol. </w:t>
      </w:r>
    </w:p>
    <w:tbl>
      <w:tblPr>
        <w:tblStyle w:val="GridTable4-Accent1"/>
        <w:tblW w:w="5000" w:type="pct"/>
        <w:tblLook w:val="04A0" w:firstRow="1" w:lastRow="0" w:firstColumn="1" w:lastColumn="0" w:noHBand="0" w:noVBand="1"/>
      </w:tblPr>
      <w:tblGrid>
        <w:gridCol w:w="2260"/>
        <w:gridCol w:w="5805"/>
        <w:gridCol w:w="2095"/>
      </w:tblGrid>
      <w:tr w:rsidR="009D1F12" w:rsidRPr="00CC75BB" w14:paraId="2E9C03EA" w14:textId="77777777" w:rsidTr="00476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pct"/>
            <w:hideMark/>
          </w:tcPr>
          <w:p w14:paraId="31A46433" w14:textId="77777777" w:rsidR="009D1F12" w:rsidRPr="00CC75BB" w:rsidRDefault="009D1F12" w:rsidP="00476592">
            <w:pPr>
              <w:rPr>
                <w:rFonts w:ascii="Times New Roman" w:hAnsi="Times New Roman" w:cs="Times New Roman"/>
                <w:b w:val="0"/>
              </w:rPr>
            </w:pPr>
            <w:r w:rsidRPr="00CC75BB">
              <w:rPr>
                <w:rFonts w:ascii="Times New Roman" w:hAnsi="Times New Roman" w:cs="Times New Roman"/>
              </w:rPr>
              <w:t>Agreement</w:t>
            </w:r>
          </w:p>
        </w:tc>
        <w:tc>
          <w:tcPr>
            <w:tcW w:w="2857" w:type="pct"/>
            <w:hideMark/>
          </w:tcPr>
          <w:p w14:paraId="0AA4D2E5" w14:textId="77777777" w:rsidR="009D1F12" w:rsidRPr="00CC75BB" w:rsidRDefault="009D1F12" w:rsidP="004765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C75BB">
              <w:rPr>
                <w:rFonts w:ascii="Times New Roman" w:hAnsi="Times New Roman" w:cs="Times New Roman"/>
              </w:rPr>
              <w:t>Date of ratification</w:t>
            </w:r>
          </w:p>
        </w:tc>
        <w:tc>
          <w:tcPr>
            <w:tcW w:w="1031" w:type="pct"/>
            <w:hideMark/>
          </w:tcPr>
          <w:p w14:paraId="703B50EA" w14:textId="77777777" w:rsidR="009D1F12" w:rsidRPr="00CC75BB" w:rsidRDefault="009D1F12" w:rsidP="004765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C75BB">
              <w:rPr>
                <w:rFonts w:ascii="Times New Roman" w:hAnsi="Times New Roman" w:cs="Times New Roman"/>
              </w:rPr>
              <w:t>Entry into force</w:t>
            </w:r>
          </w:p>
        </w:tc>
      </w:tr>
      <w:tr w:rsidR="009D1F12" w:rsidRPr="00CC75BB" w14:paraId="313F3482" w14:textId="77777777" w:rsidTr="00476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pct"/>
            <w:hideMark/>
          </w:tcPr>
          <w:p w14:paraId="324EF8DB" w14:textId="77777777" w:rsidR="009D1F12" w:rsidRPr="00CC75BB" w:rsidRDefault="009D1F12" w:rsidP="00476592">
            <w:pPr>
              <w:rPr>
                <w:rFonts w:ascii="Times New Roman" w:hAnsi="Times New Roman" w:cs="Times New Roman"/>
              </w:rPr>
            </w:pPr>
            <w:r w:rsidRPr="00CC75BB">
              <w:rPr>
                <w:rFonts w:ascii="Times New Roman" w:hAnsi="Times New Roman" w:cs="Times New Roman"/>
              </w:rPr>
              <w:t>Vienna Convention</w:t>
            </w:r>
          </w:p>
        </w:tc>
        <w:tc>
          <w:tcPr>
            <w:tcW w:w="2857" w:type="pct"/>
            <w:hideMark/>
          </w:tcPr>
          <w:p w14:paraId="1AADC307" w14:textId="77777777" w:rsidR="009D1F12" w:rsidRPr="00CC75BB" w:rsidRDefault="009D1F12"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 xml:space="preserve">The Cabinet of Ministers of Republic of Georgia by Decision N711 of 8 </w:t>
            </w:r>
            <w:proofErr w:type="gramStart"/>
            <w:r w:rsidRPr="00CC75BB">
              <w:rPr>
                <w:rFonts w:ascii="Times New Roman" w:hAnsi="Times New Roman" w:cs="Times New Roman"/>
              </w:rPr>
              <w:t>November,</w:t>
            </w:r>
            <w:proofErr w:type="gramEnd"/>
            <w:r w:rsidRPr="00CC75BB">
              <w:rPr>
                <w:rFonts w:ascii="Times New Roman" w:hAnsi="Times New Roman" w:cs="Times New Roman"/>
              </w:rPr>
              <w:t xml:space="preserve"> 1995.</w:t>
            </w:r>
          </w:p>
        </w:tc>
        <w:tc>
          <w:tcPr>
            <w:tcW w:w="1031" w:type="pct"/>
            <w:hideMark/>
          </w:tcPr>
          <w:p w14:paraId="171F9260" w14:textId="77777777" w:rsidR="009D1F12" w:rsidRPr="00CC75BB" w:rsidRDefault="009D1F12"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19 June, 1996</w:t>
            </w:r>
          </w:p>
        </w:tc>
      </w:tr>
      <w:tr w:rsidR="009D1F12" w:rsidRPr="00CC75BB" w14:paraId="5A243C6F" w14:textId="77777777" w:rsidTr="00476592">
        <w:tc>
          <w:tcPr>
            <w:cnfStyle w:val="001000000000" w:firstRow="0" w:lastRow="0" w:firstColumn="1" w:lastColumn="0" w:oddVBand="0" w:evenVBand="0" w:oddHBand="0" w:evenHBand="0" w:firstRowFirstColumn="0" w:firstRowLastColumn="0" w:lastRowFirstColumn="0" w:lastRowLastColumn="0"/>
            <w:tcW w:w="1112" w:type="pct"/>
            <w:hideMark/>
          </w:tcPr>
          <w:p w14:paraId="60CE2B94" w14:textId="77777777" w:rsidR="009D1F12" w:rsidRPr="00CC75BB" w:rsidRDefault="009D1F12" w:rsidP="00476592">
            <w:pPr>
              <w:rPr>
                <w:rFonts w:ascii="Times New Roman" w:hAnsi="Times New Roman" w:cs="Times New Roman"/>
              </w:rPr>
            </w:pPr>
            <w:r w:rsidRPr="00CC75BB">
              <w:rPr>
                <w:rFonts w:ascii="Times New Roman" w:hAnsi="Times New Roman" w:cs="Times New Roman"/>
              </w:rPr>
              <w:t>Montreal Protocol</w:t>
            </w:r>
          </w:p>
        </w:tc>
        <w:tc>
          <w:tcPr>
            <w:tcW w:w="2857" w:type="pct"/>
            <w:hideMark/>
          </w:tcPr>
          <w:p w14:paraId="606AAA20" w14:textId="77777777" w:rsidR="009D1F12" w:rsidRPr="00CC75BB" w:rsidRDefault="009D1F12"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 xml:space="preserve">The Cabinet of Ministers of Republic of Georgia by Decision N711 of 8 </w:t>
            </w:r>
            <w:proofErr w:type="gramStart"/>
            <w:r w:rsidRPr="00CC75BB">
              <w:rPr>
                <w:rFonts w:ascii="Times New Roman" w:hAnsi="Times New Roman" w:cs="Times New Roman"/>
              </w:rPr>
              <w:t>November,</w:t>
            </w:r>
            <w:proofErr w:type="gramEnd"/>
            <w:r w:rsidRPr="00CC75BB">
              <w:rPr>
                <w:rFonts w:ascii="Times New Roman" w:hAnsi="Times New Roman" w:cs="Times New Roman"/>
              </w:rPr>
              <w:t xml:space="preserve"> 1995.</w:t>
            </w:r>
          </w:p>
        </w:tc>
        <w:tc>
          <w:tcPr>
            <w:tcW w:w="1031" w:type="pct"/>
            <w:hideMark/>
          </w:tcPr>
          <w:p w14:paraId="770D73E6" w14:textId="77777777" w:rsidR="009D1F12" w:rsidRPr="00CC75BB" w:rsidRDefault="009D1F12"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19 June, 1996</w:t>
            </w:r>
          </w:p>
        </w:tc>
      </w:tr>
      <w:tr w:rsidR="009D1F12" w:rsidRPr="00CC75BB" w14:paraId="147A6C82" w14:textId="77777777" w:rsidTr="00476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pct"/>
            <w:hideMark/>
          </w:tcPr>
          <w:p w14:paraId="3B2F4E28" w14:textId="77777777" w:rsidR="009D1F12" w:rsidRPr="00CC75BB" w:rsidRDefault="009D1F12" w:rsidP="00476592">
            <w:pPr>
              <w:rPr>
                <w:rFonts w:ascii="Times New Roman" w:hAnsi="Times New Roman" w:cs="Times New Roman"/>
              </w:rPr>
            </w:pPr>
            <w:r w:rsidRPr="00CC75BB">
              <w:rPr>
                <w:rFonts w:ascii="Times New Roman" w:hAnsi="Times New Roman" w:cs="Times New Roman"/>
              </w:rPr>
              <w:t>London Amendment</w:t>
            </w:r>
          </w:p>
        </w:tc>
        <w:tc>
          <w:tcPr>
            <w:tcW w:w="2857" w:type="pct"/>
            <w:hideMark/>
          </w:tcPr>
          <w:p w14:paraId="20D63A96" w14:textId="77777777" w:rsidR="009D1F12" w:rsidRPr="00CC75BB" w:rsidRDefault="009D1F12"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Georgia acceded to the London amendment by the Decision N376-IIs of 14 June, 2000 of Parliament of Georgia</w:t>
            </w:r>
          </w:p>
        </w:tc>
        <w:tc>
          <w:tcPr>
            <w:tcW w:w="1031" w:type="pct"/>
          </w:tcPr>
          <w:p w14:paraId="55924F1A" w14:textId="77777777" w:rsidR="009D1F12" w:rsidRPr="00CC75BB" w:rsidRDefault="009D1F12"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 xml:space="preserve">10 </w:t>
            </w:r>
            <w:proofErr w:type="gramStart"/>
            <w:r w:rsidRPr="00CC75BB">
              <w:rPr>
                <w:rFonts w:ascii="Times New Roman" w:hAnsi="Times New Roman" w:cs="Times New Roman"/>
              </w:rPr>
              <w:t>October,</w:t>
            </w:r>
            <w:proofErr w:type="gramEnd"/>
            <w:r w:rsidRPr="00CC75BB">
              <w:rPr>
                <w:rFonts w:ascii="Times New Roman" w:hAnsi="Times New Roman" w:cs="Times New Roman"/>
              </w:rPr>
              <w:t xml:space="preserve"> 2000</w:t>
            </w:r>
          </w:p>
          <w:p w14:paraId="68F184A4" w14:textId="77777777" w:rsidR="009D1F12" w:rsidRPr="00CC75BB" w:rsidRDefault="009D1F12"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1F12" w:rsidRPr="00CC75BB" w14:paraId="6F0B6737" w14:textId="77777777" w:rsidTr="00476592">
        <w:tc>
          <w:tcPr>
            <w:cnfStyle w:val="001000000000" w:firstRow="0" w:lastRow="0" w:firstColumn="1" w:lastColumn="0" w:oddVBand="0" w:evenVBand="0" w:oddHBand="0" w:evenHBand="0" w:firstRowFirstColumn="0" w:firstRowLastColumn="0" w:lastRowFirstColumn="0" w:lastRowLastColumn="0"/>
            <w:tcW w:w="1112" w:type="pct"/>
            <w:hideMark/>
          </w:tcPr>
          <w:p w14:paraId="37A18467" w14:textId="77777777" w:rsidR="009D1F12" w:rsidRPr="00CC75BB" w:rsidRDefault="009D1F12" w:rsidP="00476592">
            <w:pPr>
              <w:rPr>
                <w:rFonts w:ascii="Times New Roman" w:hAnsi="Times New Roman" w:cs="Times New Roman"/>
              </w:rPr>
            </w:pPr>
            <w:r w:rsidRPr="00CC75BB">
              <w:rPr>
                <w:rFonts w:ascii="Times New Roman" w:hAnsi="Times New Roman" w:cs="Times New Roman"/>
              </w:rPr>
              <w:t>Copenhagen Amendment</w:t>
            </w:r>
          </w:p>
        </w:tc>
        <w:tc>
          <w:tcPr>
            <w:tcW w:w="2857" w:type="pct"/>
            <w:hideMark/>
          </w:tcPr>
          <w:p w14:paraId="4A6140B4" w14:textId="77777777" w:rsidR="009D1F12" w:rsidRPr="00CC75BB" w:rsidRDefault="009D1F12"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Georgia acceded to the Copenhagen amendment by the Decision N377-IIs of 14 June, 2000 of Parliament of Georgia</w:t>
            </w:r>
          </w:p>
        </w:tc>
        <w:tc>
          <w:tcPr>
            <w:tcW w:w="1031" w:type="pct"/>
          </w:tcPr>
          <w:p w14:paraId="0FFC18B4" w14:textId="77777777" w:rsidR="009D1F12" w:rsidRPr="00CC75BB" w:rsidRDefault="009D1F12"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 xml:space="preserve">10 </w:t>
            </w:r>
            <w:proofErr w:type="gramStart"/>
            <w:r w:rsidRPr="00CC75BB">
              <w:rPr>
                <w:rFonts w:ascii="Times New Roman" w:hAnsi="Times New Roman" w:cs="Times New Roman"/>
              </w:rPr>
              <w:t>October,</w:t>
            </w:r>
            <w:proofErr w:type="gramEnd"/>
            <w:r w:rsidRPr="00CC75BB">
              <w:rPr>
                <w:rFonts w:ascii="Times New Roman" w:hAnsi="Times New Roman" w:cs="Times New Roman"/>
              </w:rPr>
              <w:t xml:space="preserve"> 2000</w:t>
            </w:r>
          </w:p>
          <w:p w14:paraId="554C66AA" w14:textId="77777777" w:rsidR="009D1F12" w:rsidRPr="00CC75BB" w:rsidRDefault="009D1F12"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1F12" w:rsidRPr="00CC75BB" w14:paraId="6ED195E8" w14:textId="77777777" w:rsidTr="00476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pct"/>
            <w:hideMark/>
          </w:tcPr>
          <w:p w14:paraId="2383928E" w14:textId="77777777" w:rsidR="009D1F12" w:rsidRPr="00CC75BB" w:rsidRDefault="009D1F12" w:rsidP="00476592">
            <w:pPr>
              <w:rPr>
                <w:rFonts w:ascii="Times New Roman" w:hAnsi="Times New Roman" w:cs="Times New Roman"/>
              </w:rPr>
            </w:pPr>
            <w:r w:rsidRPr="00CC75BB">
              <w:rPr>
                <w:rFonts w:ascii="Times New Roman" w:hAnsi="Times New Roman" w:cs="Times New Roman"/>
              </w:rPr>
              <w:t>Montreal Amendment</w:t>
            </w:r>
          </w:p>
        </w:tc>
        <w:tc>
          <w:tcPr>
            <w:tcW w:w="2857" w:type="pct"/>
            <w:hideMark/>
          </w:tcPr>
          <w:p w14:paraId="099A28E2" w14:textId="77777777" w:rsidR="009D1F12" w:rsidRPr="00CC75BB" w:rsidRDefault="009D1F12"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Georgia acceded to the Montreal amendment by the Decision N378-IIs of 14 June, 2000 of Parliament of Georgia</w:t>
            </w:r>
          </w:p>
        </w:tc>
        <w:tc>
          <w:tcPr>
            <w:tcW w:w="1031" w:type="pct"/>
          </w:tcPr>
          <w:p w14:paraId="7A1F0AAA" w14:textId="77777777" w:rsidR="009D1F12" w:rsidRPr="00CC75BB" w:rsidRDefault="009D1F12"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 xml:space="preserve">10 </w:t>
            </w:r>
            <w:proofErr w:type="gramStart"/>
            <w:r w:rsidRPr="00CC75BB">
              <w:rPr>
                <w:rFonts w:ascii="Times New Roman" w:hAnsi="Times New Roman" w:cs="Times New Roman"/>
              </w:rPr>
              <w:t>October,</w:t>
            </w:r>
            <w:proofErr w:type="gramEnd"/>
            <w:r w:rsidRPr="00CC75BB">
              <w:rPr>
                <w:rFonts w:ascii="Times New Roman" w:hAnsi="Times New Roman" w:cs="Times New Roman"/>
              </w:rPr>
              <w:t xml:space="preserve"> 2000</w:t>
            </w:r>
          </w:p>
          <w:p w14:paraId="13E90E2D" w14:textId="77777777" w:rsidR="009D1F12" w:rsidRPr="00CC75BB" w:rsidRDefault="009D1F12"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1F12" w:rsidRPr="00CC75BB" w14:paraId="4D97F40F" w14:textId="77777777" w:rsidTr="00476592">
        <w:tc>
          <w:tcPr>
            <w:cnfStyle w:val="001000000000" w:firstRow="0" w:lastRow="0" w:firstColumn="1" w:lastColumn="0" w:oddVBand="0" w:evenVBand="0" w:oddHBand="0" w:evenHBand="0" w:firstRowFirstColumn="0" w:firstRowLastColumn="0" w:lastRowFirstColumn="0" w:lastRowLastColumn="0"/>
            <w:tcW w:w="1112" w:type="pct"/>
            <w:hideMark/>
          </w:tcPr>
          <w:p w14:paraId="7970E302" w14:textId="77777777" w:rsidR="009D1F12" w:rsidRPr="00CC75BB" w:rsidRDefault="009D1F12" w:rsidP="00476592">
            <w:pPr>
              <w:rPr>
                <w:rFonts w:ascii="Times New Roman" w:hAnsi="Times New Roman" w:cs="Times New Roman"/>
              </w:rPr>
            </w:pPr>
            <w:r w:rsidRPr="00CC75BB">
              <w:rPr>
                <w:rFonts w:ascii="Times New Roman" w:hAnsi="Times New Roman" w:cs="Times New Roman"/>
              </w:rPr>
              <w:t>Beijing Amendment</w:t>
            </w:r>
          </w:p>
        </w:tc>
        <w:tc>
          <w:tcPr>
            <w:tcW w:w="2857" w:type="pct"/>
            <w:hideMark/>
          </w:tcPr>
          <w:p w14:paraId="7AC1BC22" w14:textId="77777777" w:rsidR="009D1F12" w:rsidRPr="00CC75BB" w:rsidRDefault="009D1F12"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Georgia acceded to the Beijing amendment by the Decision N3877-II s of 07 December,2010 of Parliament of Georgia</w:t>
            </w:r>
          </w:p>
        </w:tc>
        <w:tc>
          <w:tcPr>
            <w:tcW w:w="1031" w:type="pct"/>
            <w:hideMark/>
          </w:tcPr>
          <w:p w14:paraId="755B60A8" w14:textId="77777777" w:rsidR="009D1F12" w:rsidRPr="00CC75BB" w:rsidRDefault="009D1F12"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75BB">
              <w:rPr>
                <w:rFonts w:ascii="Times New Roman" w:hAnsi="Times New Roman" w:cs="Times New Roman"/>
              </w:rPr>
              <w:t>07 December, 2010</w:t>
            </w:r>
          </w:p>
        </w:tc>
      </w:tr>
    </w:tbl>
    <w:p w14:paraId="61710612" w14:textId="77777777" w:rsidR="009D1F12" w:rsidRDefault="009D1F12" w:rsidP="005B4E4A">
      <w:pPr>
        <w:rPr>
          <w:rFonts w:cstheme="minorHAnsi"/>
          <w:iCs/>
        </w:rPr>
      </w:pPr>
    </w:p>
    <w:p w14:paraId="30BCB2F9" w14:textId="77777777" w:rsidR="009D1F12" w:rsidRPr="005B4E4A" w:rsidRDefault="009D1F12" w:rsidP="005B4E4A">
      <w:pPr>
        <w:rPr>
          <w:rFonts w:cstheme="minorHAnsi"/>
          <w:iCs/>
        </w:rPr>
      </w:pPr>
    </w:p>
    <w:p w14:paraId="18214EBB" w14:textId="77777777" w:rsidR="00E052D5" w:rsidRPr="00E052D5" w:rsidRDefault="00E052D5" w:rsidP="00E052D5">
      <w:pPr>
        <w:contextualSpacing/>
        <w:rPr>
          <w:rFonts w:eastAsia="SimSun"/>
          <w:color w:val="000000"/>
          <w:lang w:eastAsia="zh-CN"/>
        </w:rPr>
      </w:pPr>
    </w:p>
    <w:p w14:paraId="50D61148" w14:textId="1996E6A4" w:rsidR="00E052D5" w:rsidRPr="00E94229" w:rsidRDefault="00E052D5" w:rsidP="00E052D5">
      <w:pPr>
        <w:rPr>
          <w:rFonts w:eastAsia="SimSun"/>
          <w:b/>
          <w:lang w:eastAsia="zh-CN"/>
        </w:rPr>
      </w:pPr>
      <w:r w:rsidRPr="00E94229">
        <w:rPr>
          <w:rFonts w:eastAsia="SimSun"/>
          <w:b/>
          <w:lang w:eastAsia="zh-CN"/>
        </w:rPr>
        <w:t>I.</w:t>
      </w:r>
      <w:r w:rsidR="00646069" w:rsidRPr="00E94229">
        <w:rPr>
          <w:rFonts w:eastAsia="SimSun"/>
          <w:b/>
          <w:lang w:eastAsia="zh-CN"/>
        </w:rPr>
        <w:t>2</w:t>
      </w:r>
      <w:r w:rsidRPr="00E94229">
        <w:rPr>
          <w:rFonts w:eastAsia="SimSun"/>
          <w:b/>
          <w:lang w:eastAsia="zh-CN"/>
        </w:rPr>
        <w:t>.2. ODS Legislation/Regulations</w:t>
      </w:r>
    </w:p>
    <w:p w14:paraId="3F61DD95" w14:textId="77777777" w:rsidR="00E052D5" w:rsidRPr="00E052D5" w:rsidRDefault="00E052D5" w:rsidP="00E052D5">
      <w:pPr>
        <w:rPr>
          <w:b/>
          <w:color w:val="FF0000"/>
        </w:rPr>
      </w:pPr>
    </w:p>
    <w:p w14:paraId="65C122F4" w14:textId="6DC1D12E" w:rsidR="00E052D5" w:rsidRDefault="00E052D5" w:rsidP="00E53624">
      <w:pPr>
        <w:rPr>
          <w:rFonts w:eastAsia="SimSun"/>
          <w:lang w:eastAsia="zh-CN"/>
        </w:rPr>
      </w:pPr>
    </w:p>
    <w:p w14:paraId="25D7ECD5" w14:textId="77777777" w:rsidR="00757C43" w:rsidRPr="00757C43" w:rsidRDefault="00757C43" w:rsidP="00757C43">
      <w:pPr>
        <w:rPr>
          <w:lang w:val="en-US"/>
        </w:rPr>
      </w:pPr>
      <w:r w:rsidRPr="00757C43">
        <w:rPr>
          <w:lang w:val="en-US"/>
        </w:rPr>
        <w:t xml:space="preserve">In Georgia, issues of the Protection of Ozone Layer were first integrated in the 1996 framework Law on Environmental Protection. Specifically, its article #52 was fully dedicated to the protection of the Ozone Layer. Following the framework environmental protection Law, in 1999, an environmental media-specific Law on the Protection Atmospheric Air was adopted, whose article # 54 regulates the issues of the Ozone Layer Protection. Both Laws set general rules and principles for the protection of the Ozone Layer as well as regulatory requirements for the production, import-export and consumption of ODS. In addition, both laws designate the MEPA as a coordinating body for ODS phase-out. Since the adoption of framework laws regulating ODS management, various amendments to the national legislation and </w:t>
      </w:r>
      <w:proofErr w:type="gramStart"/>
      <w:r w:rsidRPr="00757C43">
        <w:rPr>
          <w:lang w:val="en-US"/>
        </w:rPr>
        <w:t>a number of</w:t>
      </w:r>
      <w:proofErr w:type="gramEnd"/>
      <w:r w:rsidRPr="00757C43">
        <w:rPr>
          <w:lang w:val="en-US"/>
        </w:rPr>
        <w:t xml:space="preserve"> new regulations (sub-laws) have been adopted. More specifically, since 2014, ODS import-export legislation has been improved and the HCFCs quota system has been introduced. In April </w:t>
      </w:r>
      <w:r w:rsidRPr="00757C43">
        <w:rPr>
          <w:lang w:val="en-US"/>
        </w:rPr>
        <w:lastRenderedPageBreak/>
        <w:t xml:space="preserve">2016, new amendments were introduced into the existing laws on Environmental Protection, Atmospheric Air Protection, Licenses and Permits and Royalties on Licenses and Permits with a purpose of improvement of ODS import-export regulation and introduction of regulatory requirements for the RAC sector (certification </w:t>
      </w:r>
      <w:proofErr w:type="spellStart"/>
      <w:r w:rsidRPr="00757C43">
        <w:rPr>
          <w:lang w:val="en-US"/>
        </w:rPr>
        <w:t>etc</w:t>
      </w:r>
      <w:proofErr w:type="spellEnd"/>
      <w:r w:rsidRPr="00757C43">
        <w:rPr>
          <w:lang w:val="en-US"/>
        </w:rPr>
        <w:t xml:space="preserve">). Relevant administrative sanctions were added to the Code of Administrative Procedures of Georgia in relation to violation cases of the existing legislation regulating ODS management. Moreover, through Government Decree #266 on the Approval of the Technical Regulation on the Issuance of Permits for Import, Export, Re-export and Transit of Ozone-Depleting Substances and the Distribution of the Annual Import Quota, permitting annual quota allocation for import, export, re-export and transit of ODS (banned ODS, for quarantine uses, HCFCs) was approved. </w:t>
      </w:r>
    </w:p>
    <w:p w14:paraId="67A56126" w14:textId="77777777" w:rsidR="00757C43" w:rsidRPr="00757C43" w:rsidRDefault="00757C43" w:rsidP="00757C43">
      <w:pPr>
        <w:spacing w:before="120"/>
      </w:pPr>
      <w:r w:rsidRPr="00757C43">
        <w:t>In a summary, the existing regulatory framework for the HCFC phase out in Georgia currently targets:</w:t>
      </w:r>
    </w:p>
    <w:p w14:paraId="4E8CCA5E" w14:textId="77777777" w:rsidR="00757C43" w:rsidRPr="00757C43" w:rsidRDefault="00757C43" w:rsidP="00FA316F">
      <w:pPr>
        <w:numPr>
          <w:ilvl w:val="0"/>
          <w:numId w:val="24"/>
        </w:numPr>
        <w:rPr>
          <w:lang w:val="en-US"/>
        </w:rPr>
      </w:pPr>
      <w:r w:rsidRPr="00757C43">
        <w:rPr>
          <w:b/>
          <w:bCs/>
        </w:rPr>
        <w:t>the reduction of HCFC supply</w:t>
      </w:r>
      <w:r w:rsidRPr="00757C43">
        <w:t xml:space="preserve"> through the HCFC quota and permit systems for the import/export of HCFC and codification system for </w:t>
      </w:r>
      <w:proofErr w:type="gramStart"/>
      <w:r w:rsidRPr="00757C43">
        <w:t>Customs;</w:t>
      </w:r>
      <w:proofErr w:type="gramEnd"/>
      <w:r w:rsidRPr="00757C43">
        <w:t xml:space="preserve"> </w:t>
      </w:r>
    </w:p>
    <w:p w14:paraId="0A3C50A4" w14:textId="77777777" w:rsidR="00757C43" w:rsidRPr="00757C43" w:rsidRDefault="00757C43" w:rsidP="00FA316F">
      <w:pPr>
        <w:numPr>
          <w:ilvl w:val="0"/>
          <w:numId w:val="24"/>
        </w:numPr>
        <w:rPr>
          <w:lang w:val="en-US"/>
        </w:rPr>
      </w:pPr>
      <w:r w:rsidRPr="00757C43">
        <w:rPr>
          <w:b/>
          <w:bCs/>
        </w:rPr>
        <w:t xml:space="preserve">the reduction of demand on HCFCs </w:t>
      </w:r>
      <w:r w:rsidRPr="00757C43">
        <w:t xml:space="preserve">by improved handling of refrigerants through the introduction of a certification scheme for technicians, and accurate reporting on consumption of HCFCs; and </w:t>
      </w:r>
    </w:p>
    <w:p w14:paraId="46EE6AE9" w14:textId="77777777" w:rsidR="00757C43" w:rsidRPr="00757C43" w:rsidRDefault="00757C43" w:rsidP="00FA316F">
      <w:pPr>
        <w:numPr>
          <w:ilvl w:val="0"/>
          <w:numId w:val="24"/>
        </w:numPr>
        <w:rPr>
          <w:lang w:val="en-US"/>
        </w:rPr>
      </w:pPr>
      <w:r w:rsidRPr="00757C43">
        <w:rPr>
          <w:b/>
          <w:bCs/>
          <w:lang w:val="en-US"/>
        </w:rPr>
        <w:t xml:space="preserve">the reduction of emissions </w:t>
      </w:r>
      <w:r w:rsidRPr="00757C43">
        <w:rPr>
          <w:lang w:val="en-US"/>
        </w:rPr>
        <w:t>through</w:t>
      </w:r>
      <w:r w:rsidRPr="00757C43">
        <w:rPr>
          <w:b/>
          <w:bCs/>
          <w:lang w:val="en-US"/>
        </w:rPr>
        <w:t xml:space="preserve"> a </w:t>
      </w:r>
      <w:r w:rsidRPr="00757C43">
        <w:rPr>
          <w:lang w:val="en-US"/>
        </w:rPr>
        <w:t xml:space="preserve">venting ban, deployment of standards </w:t>
      </w:r>
      <w:r w:rsidRPr="00757C43">
        <w:t>for safety and environmental requirements for RAC systems and the formulation and implementation code of practice for operation of RAC equipment.</w:t>
      </w:r>
      <w:r w:rsidRPr="00757C43">
        <w:rPr>
          <w:lang w:val="en-US"/>
        </w:rPr>
        <w:t xml:space="preserve"> Below is a summary table of all legal acts regulating ODS (HCFCs included).</w:t>
      </w:r>
    </w:p>
    <w:p w14:paraId="25910A90" w14:textId="77777777" w:rsidR="003D4CDF" w:rsidRDefault="003D4CDF" w:rsidP="00757C43">
      <w:pPr>
        <w:pStyle w:val="Caption"/>
      </w:pPr>
    </w:p>
    <w:p w14:paraId="4388437D" w14:textId="2679B13C" w:rsidR="00757C43" w:rsidRPr="00757C43" w:rsidRDefault="00757C43" w:rsidP="00757C43">
      <w:pPr>
        <w:pStyle w:val="Caption"/>
      </w:pPr>
      <w:r w:rsidRPr="00757C43">
        <w:t xml:space="preserve"> National ODS phase-out legislation</w:t>
      </w:r>
    </w:p>
    <w:tbl>
      <w:tblPr>
        <w:tblStyle w:val="GridTable4-Accent1"/>
        <w:tblW w:w="5000" w:type="pct"/>
        <w:tblLayout w:type="fixed"/>
        <w:tblLook w:val="04A0" w:firstRow="1" w:lastRow="0" w:firstColumn="1" w:lastColumn="0" w:noHBand="0" w:noVBand="1"/>
      </w:tblPr>
      <w:tblGrid>
        <w:gridCol w:w="445"/>
        <w:gridCol w:w="3420"/>
        <w:gridCol w:w="6295"/>
      </w:tblGrid>
      <w:tr w:rsidR="00757C43" w:rsidRPr="00757C43" w14:paraId="3B50172C" w14:textId="77777777" w:rsidTr="008E6C5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 w:type="pct"/>
          </w:tcPr>
          <w:p w14:paraId="5D91D9E4"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w:t>
            </w:r>
          </w:p>
        </w:tc>
        <w:tc>
          <w:tcPr>
            <w:tcW w:w="1683" w:type="pct"/>
          </w:tcPr>
          <w:p w14:paraId="3F60E49B" w14:textId="77777777" w:rsidR="00757C43" w:rsidRPr="00757C43" w:rsidRDefault="00757C43" w:rsidP="004765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Legal Act</w:t>
            </w:r>
          </w:p>
        </w:tc>
        <w:tc>
          <w:tcPr>
            <w:tcW w:w="3098" w:type="pct"/>
          </w:tcPr>
          <w:p w14:paraId="032EF3EA" w14:textId="77777777" w:rsidR="00757C43" w:rsidRPr="00757C43" w:rsidRDefault="00757C43" w:rsidP="004765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Description</w:t>
            </w:r>
          </w:p>
        </w:tc>
      </w:tr>
      <w:tr w:rsidR="00757C43" w:rsidRPr="00757C43" w14:paraId="5740CCEE" w14:textId="77777777" w:rsidTr="008E6C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9" w:type="pct"/>
            <w:vMerge w:val="restart"/>
          </w:tcPr>
          <w:p w14:paraId="0A95D18D"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1</w:t>
            </w:r>
          </w:p>
        </w:tc>
        <w:tc>
          <w:tcPr>
            <w:tcW w:w="1683" w:type="pct"/>
            <w:vMerge w:val="restart"/>
          </w:tcPr>
          <w:p w14:paraId="3094BB2E"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Law on Environmental Protection, Article 52. Protection of Ozone Layer, Article 8, paragraph 2 Environmental Education</w:t>
            </w:r>
          </w:p>
        </w:tc>
        <w:tc>
          <w:tcPr>
            <w:tcW w:w="3098" w:type="pct"/>
            <w:vMerge w:val="restart"/>
          </w:tcPr>
          <w:p w14:paraId="54DDACF3" w14:textId="77777777" w:rsidR="00757C43" w:rsidRPr="00757C43" w:rsidRDefault="00757C43" w:rsidP="0047659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Sets general principles for the protection of Ozone Layer and ODS regulation, e.g. requires introduction of special permit on ODS import; Designates LEPL Environmental Information and Education Centre as environmental training, retraining, certification and education authority.</w:t>
            </w:r>
          </w:p>
        </w:tc>
      </w:tr>
      <w:tr w:rsidR="00757C43" w:rsidRPr="00757C43" w14:paraId="39AD154A" w14:textId="77777777" w:rsidTr="008E6C50">
        <w:trPr>
          <w:trHeight w:val="280"/>
        </w:trPr>
        <w:tc>
          <w:tcPr>
            <w:cnfStyle w:val="001000000000" w:firstRow="0" w:lastRow="0" w:firstColumn="1" w:lastColumn="0" w:oddVBand="0" w:evenVBand="0" w:oddHBand="0" w:evenHBand="0" w:firstRowFirstColumn="0" w:firstRowLastColumn="0" w:lastRowFirstColumn="0" w:lastRowLastColumn="0"/>
            <w:tcW w:w="219" w:type="pct"/>
            <w:vMerge/>
          </w:tcPr>
          <w:p w14:paraId="6C029A74" w14:textId="77777777" w:rsidR="00757C43" w:rsidRPr="00757C43" w:rsidRDefault="00757C43" w:rsidP="00476592">
            <w:pPr>
              <w:rPr>
                <w:rFonts w:ascii="Times New Roman" w:hAnsi="Times New Roman" w:cs="Times New Roman"/>
                <w:sz w:val="18"/>
                <w:szCs w:val="18"/>
              </w:rPr>
            </w:pPr>
          </w:p>
        </w:tc>
        <w:tc>
          <w:tcPr>
            <w:tcW w:w="1683" w:type="pct"/>
            <w:vMerge/>
          </w:tcPr>
          <w:p w14:paraId="3AEC45BC"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3098" w:type="pct"/>
            <w:vMerge/>
          </w:tcPr>
          <w:p w14:paraId="153BFEDD"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57C43" w:rsidRPr="00757C43" w14:paraId="225866B9" w14:textId="77777777" w:rsidTr="008E6C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9" w:type="pct"/>
            <w:vMerge w:val="restart"/>
          </w:tcPr>
          <w:p w14:paraId="401689C8"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2</w:t>
            </w:r>
          </w:p>
        </w:tc>
        <w:tc>
          <w:tcPr>
            <w:tcW w:w="1683" w:type="pct"/>
            <w:vMerge w:val="restart"/>
          </w:tcPr>
          <w:p w14:paraId="3BB08597"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Law on Atmospheric Air Protection</w:t>
            </w:r>
          </w:p>
        </w:tc>
        <w:tc>
          <w:tcPr>
            <w:tcW w:w="3098" w:type="pct"/>
            <w:vMerge w:val="restart"/>
          </w:tcPr>
          <w:p w14:paraId="7E01B3B7" w14:textId="77777777" w:rsidR="00757C43" w:rsidRPr="00757C43" w:rsidRDefault="00757C43" w:rsidP="0047659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Authorizes only certified RAC and heat pump service technicians to perform their duties; Sets out validity term for certificate to be 3 years ; Designates the MEPA as certifying body; Makes mandatory for all RAC and heat pumps service technicians compliance with National Standard on Safety and Environment Requirements  for RAC and Heat Pump Servicing(Above provisions are effective from 1 January 2018); Sets out permit systems and introduces permitting rules and conditions for ODS import, export, re-export and transit; Designates MEPA as permitting authority; Defines a list of permitting documentation, date of approval ODS import quota, application submission date, permitting duration, terms of permit validity, etc.; Obliges RAC owners and RAC and heat pumps service technicians working with 3 kg or more refrigerants to 1) keep registration journal on their activities and refrigerants amounts; 2) before 1 March of every year report to the Ministry of Environment on the amount of refrigerants consumed; Designates Environmental Supervision Department as law enforcement authority; Introduces mandatory certification system was introduced for technicians servicing RAC equipment - since January 2019 requires that technicians (individual practitioners and legally recognized companies) servicing RAC equipment to be certified (provision 541). A certificate can be obtained through an electronic examination and has a 3 </w:t>
            </w:r>
            <w:proofErr w:type="gramStart"/>
            <w:r w:rsidRPr="00757C43">
              <w:rPr>
                <w:rFonts w:ascii="Times New Roman" w:hAnsi="Times New Roman" w:cs="Times New Roman"/>
                <w:sz w:val="18"/>
                <w:szCs w:val="18"/>
              </w:rPr>
              <w:t>years</w:t>
            </w:r>
            <w:proofErr w:type="gramEnd"/>
            <w:r w:rsidRPr="00757C43">
              <w:rPr>
                <w:rFonts w:ascii="Times New Roman" w:hAnsi="Times New Roman" w:cs="Times New Roman"/>
                <w:sz w:val="18"/>
                <w:szCs w:val="18"/>
              </w:rPr>
              <w:t xml:space="preserve"> validity. Certificates are issued by the </w:t>
            </w:r>
            <w:proofErr w:type="gramStart"/>
            <w:r w:rsidRPr="00757C43">
              <w:rPr>
                <w:rFonts w:ascii="Times New Roman" w:hAnsi="Times New Roman" w:cs="Times New Roman"/>
                <w:sz w:val="18"/>
                <w:szCs w:val="18"/>
              </w:rPr>
              <w:t>MEPA .</w:t>
            </w:r>
            <w:proofErr w:type="gramEnd"/>
          </w:p>
        </w:tc>
      </w:tr>
      <w:tr w:rsidR="00757C43" w:rsidRPr="00757C43" w14:paraId="025D3F24" w14:textId="77777777" w:rsidTr="008E6C50">
        <w:trPr>
          <w:trHeight w:val="280"/>
        </w:trPr>
        <w:tc>
          <w:tcPr>
            <w:cnfStyle w:val="001000000000" w:firstRow="0" w:lastRow="0" w:firstColumn="1" w:lastColumn="0" w:oddVBand="0" w:evenVBand="0" w:oddHBand="0" w:evenHBand="0" w:firstRowFirstColumn="0" w:firstRowLastColumn="0" w:lastRowFirstColumn="0" w:lastRowLastColumn="0"/>
            <w:tcW w:w="219" w:type="pct"/>
            <w:vMerge/>
          </w:tcPr>
          <w:p w14:paraId="346988C5" w14:textId="77777777" w:rsidR="00757C43" w:rsidRPr="00757C43" w:rsidRDefault="00757C43" w:rsidP="00476592">
            <w:pPr>
              <w:rPr>
                <w:rFonts w:ascii="Times New Roman" w:hAnsi="Times New Roman" w:cs="Times New Roman"/>
                <w:sz w:val="18"/>
                <w:szCs w:val="18"/>
              </w:rPr>
            </w:pPr>
          </w:p>
        </w:tc>
        <w:tc>
          <w:tcPr>
            <w:tcW w:w="1683" w:type="pct"/>
            <w:vMerge/>
          </w:tcPr>
          <w:p w14:paraId="4FB0C4EF"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3098" w:type="pct"/>
            <w:vMerge/>
          </w:tcPr>
          <w:p w14:paraId="4B7FD6B8"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57C43" w:rsidRPr="00757C43" w14:paraId="34E8B49A" w14:textId="77777777" w:rsidTr="008E6C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9" w:type="pct"/>
            <w:vMerge/>
          </w:tcPr>
          <w:p w14:paraId="4E4C09F1" w14:textId="77777777" w:rsidR="00757C43" w:rsidRPr="00757C43" w:rsidRDefault="00757C43" w:rsidP="00476592">
            <w:pPr>
              <w:rPr>
                <w:rFonts w:ascii="Times New Roman" w:hAnsi="Times New Roman" w:cs="Times New Roman"/>
                <w:sz w:val="18"/>
                <w:szCs w:val="18"/>
              </w:rPr>
            </w:pPr>
          </w:p>
        </w:tc>
        <w:tc>
          <w:tcPr>
            <w:tcW w:w="1683" w:type="pct"/>
            <w:vMerge/>
          </w:tcPr>
          <w:p w14:paraId="56262F6E"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98" w:type="pct"/>
            <w:vMerge/>
          </w:tcPr>
          <w:p w14:paraId="11F66761"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757C43" w:rsidRPr="00757C43" w14:paraId="5C308F91" w14:textId="77777777" w:rsidTr="008E6C50">
        <w:trPr>
          <w:trHeight w:val="3077"/>
        </w:trPr>
        <w:tc>
          <w:tcPr>
            <w:cnfStyle w:val="001000000000" w:firstRow="0" w:lastRow="0" w:firstColumn="1" w:lastColumn="0" w:oddVBand="0" w:evenVBand="0" w:oddHBand="0" w:evenHBand="0" w:firstRowFirstColumn="0" w:firstRowLastColumn="0" w:lastRowFirstColumn="0" w:lastRowLastColumn="0"/>
            <w:tcW w:w="219" w:type="pct"/>
            <w:vMerge/>
          </w:tcPr>
          <w:p w14:paraId="5E6552E8" w14:textId="77777777" w:rsidR="00757C43" w:rsidRPr="00757C43" w:rsidRDefault="00757C43" w:rsidP="00476592">
            <w:pPr>
              <w:rPr>
                <w:rFonts w:ascii="Times New Roman" w:hAnsi="Times New Roman" w:cs="Times New Roman"/>
                <w:sz w:val="18"/>
                <w:szCs w:val="18"/>
              </w:rPr>
            </w:pPr>
          </w:p>
        </w:tc>
        <w:tc>
          <w:tcPr>
            <w:tcW w:w="1683" w:type="pct"/>
            <w:vMerge/>
          </w:tcPr>
          <w:p w14:paraId="702A7BC0"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3098" w:type="pct"/>
            <w:vMerge/>
          </w:tcPr>
          <w:p w14:paraId="28DA5D0D"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57C43" w:rsidRPr="00757C43" w14:paraId="57E80BBD" w14:textId="77777777" w:rsidTr="008E6C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 w:type="pct"/>
          </w:tcPr>
          <w:p w14:paraId="4E009154"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3</w:t>
            </w:r>
          </w:p>
        </w:tc>
        <w:tc>
          <w:tcPr>
            <w:tcW w:w="1683" w:type="pct"/>
          </w:tcPr>
          <w:p w14:paraId="06D433B0"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Georgian Law on Licences and Permits, Article 24.7</w:t>
            </w:r>
            <w:r w:rsidRPr="00757C43">
              <w:rPr>
                <w:rFonts w:ascii="Times New Roman" w:hAnsi="Times New Roman" w:cs="Times New Roman"/>
                <w:sz w:val="18"/>
                <w:szCs w:val="18"/>
                <w:vertAlign w:val="superscript"/>
              </w:rPr>
              <w:t>2</w:t>
            </w:r>
          </w:p>
        </w:tc>
        <w:tc>
          <w:tcPr>
            <w:tcW w:w="3098" w:type="pct"/>
          </w:tcPr>
          <w:p w14:paraId="15CF9732"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Introduces permits for ODS import, export, re-export and transit</w:t>
            </w:r>
          </w:p>
        </w:tc>
      </w:tr>
      <w:tr w:rsidR="00757C43" w:rsidRPr="00757C43" w14:paraId="38D56408" w14:textId="77777777" w:rsidTr="008E6C50">
        <w:trPr>
          <w:trHeight w:val="20"/>
        </w:trPr>
        <w:tc>
          <w:tcPr>
            <w:cnfStyle w:val="001000000000" w:firstRow="0" w:lastRow="0" w:firstColumn="1" w:lastColumn="0" w:oddVBand="0" w:evenVBand="0" w:oddHBand="0" w:evenHBand="0" w:firstRowFirstColumn="0" w:firstRowLastColumn="0" w:lastRowFirstColumn="0" w:lastRowLastColumn="0"/>
            <w:tcW w:w="219" w:type="pct"/>
          </w:tcPr>
          <w:p w14:paraId="7C1742CC"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4</w:t>
            </w:r>
          </w:p>
        </w:tc>
        <w:tc>
          <w:tcPr>
            <w:tcW w:w="1683" w:type="pct"/>
          </w:tcPr>
          <w:p w14:paraId="236A96F4"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Georgian Law on Royalties for Licences and Permits</w:t>
            </w:r>
          </w:p>
        </w:tc>
        <w:tc>
          <w:tcPr>
            <w:tcW w:w="3098" w:type="pct"/>
          </w:tcPr>
          <w:p w14:paraId="4B2DD872"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Sets amount of royalty on the permit for ODS import, export, re-export and transit </w:t>
            </w:r>
          </w:p>
        </w:tc>
      </w:tr>
      <w:tr w:rsidR="00757C43" w:rsidRPr="00757C43" w14:paraId="596E57C8" w14:textId="77777777" w:rsidTr="008E6C50">
        <w:trPr>
          <w:cnfStyle w:val="000000100000" w:firstRow="0" w:lastRow="0" w:firstColumn="0" w:lastColumn="0" w:oddVBand="0" w:evenVBand="0" w:oddHBand="1" w:evenHBand="0" w:firstRowFirstColumn="0" w:firstRowLastColumn="0" w:lastRowFirstColumn="0" w:lastRowLastColumn="0"/>
          <w:trHeight w:val="2457"/>
        </w:trPr>
        <w:tc>
          <w:tcPr>
            <w:cnfStyle w:val="001000000000" w:firstRow="0" w:lastRow="0" w:firstColumn="1" w:lastColumn="0" w:oddVBand="0" w:evenVBand="0" w:oddHBand="0" w:evenHBand="0" w:firstRowFirstColumn="0" w:firstRowLastColumn="0" w:lastRowFirstColumn="0" w:lastRowLastColumn="0"/>
            <w:tcW w:w="219" w:type="pct"/>
          </w:tcPr>
          <w:p w14:paraId="6D6B5FD8" w14:textId="77777777" w:rsidR="00757C43" w:rsidRPr="00757C43" w:rsidRDefault="00757C43" w:rsidP="00476592">
            <w:pPr>
              <w:rPr>
                <w:rFonts w:ascii="Times New Roman" w:hAnsi="Times New Roman" w:cs="Times New Roman"/>
                <w:b w:val="0"/>
                <w:bCs w:val="0"/>
                <w:sz w:val="18"/>
                <w:szCs w:val="18"/>
              </w:rPr>
            </w:pPr>
            <w:r w:rsidRPr="00757C43">
              <w:rPr>
                <w:rFonts w:ascii="Times New Roman" w:hAnsi="Times New Roman" w:cs="Times New Roman"/>
                <w:sz w:val="18"/>
                <w:szCs w:val="18"/>
              </w:rPr>
              <w:lastRenderedPageBreak/>
              <w:t>5</w:t>
            </w:r>
          </w:p>
          <w:p w14:paraId="4B48D29C" w14:textId="77777777" w:rsidR="00757C43" w:rsidRPr="00757C43" w:rsidRDefault="00757C43" w:rsidP="00476592">
            <w:pPr>
              <w:rPr>
                <w:rFonts w:ascii="Times New Roman" w:hAnsi="Times New Roman" w:cs="Times New Roman"/>
                <w:sz w:val="18"/>
                <w:szCs w:val="18"/>
              </w:rPr>
            </w:pPr>
          </w:p>
        </w:tc>
        <w:tc>
          <w:tcPr>
            <w:tcW w:w="1683" w:type="pct"/>
          </w:tcPr>
          <w:p w14:paraId="43C48F4D"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#266 Government Resolution (Decree) on the approval of Technical Regulation #266 on the Issuance of Permits for Import, Export, Re-export and Transit of Ozone-Depleting Substances and the Distribution of the Annual Import Quota</w:t>
            </w:r>
          </w:p>
        </w:tc>
        <w:tc>
          <w:tcPr>
            <w:tcW w:w="3098" w:type="pct"/>
          </w:tcPr>
          <w:p w14:paraId="66BA54A3"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Permits and allocates Annual Quotas for ODS import, export, re-export and transit’ Defines the list of ODS banned, regulated, designated for quarantine and pre-shipment uses, sets out the rule for annual quota allocation and rights and responsibilities of permit </w:t>
            </w:r>
            <w:proofErr w:type="gramStart"/>
            <w:r w:rsidRPr="00757C43">
              <w:rPr>
                <w:rFonts w:ascii="Times New Roman" w:hAnsi="Times New Roman" w:cs="Times New Roman"/>
                <w:sz w:val="18"/>
                <w:szCs w:val="18"/>
              </w:rPr>
              <w:t>holders;</w:t>
            </w:r>
            <w:proofErr w:type="gramEnd"/>
          </w:p>
          <w:p w14:paraId="154DDEFD"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Introduces a unified registry form for import, export, re-export and transit of ODSs. For efficient administration of the quota system and tracking down HCFCs from the moment of its import till its </w:t>
            </w:r>
            <w:proofErr w:type="gramStart"/>
            <w:r w:rsidRPr="00757C43">
              <w:rPr>
                <w:rFonts w:ascii="Times New Roman" w:hAnsi="Times New Roman" w:cs="Times New Roman"/>
                <w:sz w:val="18"/>
                <w:szCs w:val="18"/>
              </w:rPr>
              <w:t>end-use;</w:t>
            </w:r>
            <w:proofErr w:type="gramEnd"/>
          </w:p>
          <w:p w14:paraId="6770475B"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From 2016 specifies the rules for obtaining the permit for the import, export, re-export and transit of ODSs, allocation of quota, responsibilities of a permit holder, etc. The permit is issued by the MEPA which is carried out in line with the requirements of the Law on Licenses and Permits.  </w:t>
            </w:r>
          </w:p>
        </w:tc>
      </w:tr>
      <w:tr w:rsidR="00757C43" w:rsidRPr="00757C43" w14:paraId="7F3FC5A4" w14:textId="77777777" w:rsidTr="008E6C50">
        <w:trPr>
          <w:trHeight w:val="280"/>
        </w:trPr>
        <w:tc>
          <w:tcPr>
            <w:cnfStyle w:val="001000000000" w:firstRow="0" w:lastRow="0" w:firstColumn="1" w:lastColumn="0" w:oddVBand="0" w:evenVBand="0" w:oddHBand="0" w:evenHBand="0" w:firstRowFirstColumn="0" w:firstRowLastColumn="0" w:lastRowFirstColumn="0" w:lastRowLastColumn="0"/>
            <w:tcW w:w="219" w:type="pct"/>
            <w:vMerge w:val="restart"/>
          </w:tcPr>
          <w:p w14:paraId="792A78CE"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6</w:t>
            </w:r>
          </w:p>
        </w:tc>
        <w:tc>
          <w:tcPr>
            <w:tcW w:w="1683" w:type="pct"/>
            <w:vMerge w:val="restart"/>
          </w:tcPr>
          <w:p w14:paraId="6D697F47"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Code of Administrative Proceedings of Georgia</w:t>
            </w:r>
          </w:p>
        </w:tc>
        <w:tc>
          <w:tcPr>
            <w:tcW w:w="3098" w:type="pct"/>
            <w:vMerge w:val="restart"/>
          </w:tcPr>
          <w:p w14:paraId="0344BE28" w14:textId="77777777" w:rsidR="00757C43" w:rsidRPr="00757C43" w:rsidRDefault="00757C43" w:rsidP="0047659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Sets administrative sanctions (penalties) for: uncertified RAC and heat pump servicing and repeated uncertified servicing; acceptance of uncertified service and repeated acceptance of uncertified service; absent registration journal or incorrect registration; non-compliance with reporting requirement; </w:t>
            </w:r>
            <w:proofErr w:type="spellStart"/>
            <w:r w:rsidRPr="00757C43">
              <w:rPr>
                <w:rFonts w:ascii="Times New Roman" w:hAnsi="Times New Roman" w:cs="Times New Roman"/>
                <w:sz w:val="18"/>
                <w:szCs w:val="18"/>
              </w:rPr>
              <w:t>mon</w:t>
            </w:r>
            <w:proofErr w:type="spellEnd"/>
            <w:r w:rsidRPr="00757C43">
              <w:rPr>
                <w:rFonts w:ascii="Times New Roman" w:hAnsi="Times New Roman" w:cs="Times New Roman"/>
                <w:sz w:val="18"/>
                <w:szCs w:val="18"/>
              </w:rPr>
              <w:t>-compliance with National Standard on safety and environment requirements for RAC systems and heat pumps; violation of import, export, re-export or transit permit conditions; Illegal import, export, re-export and transit; Import, export, re-export or transit of banned ODS; non-compliance with the requirements of the SST 70 and refrigeration and heat pump equipment services.</w:t>
            </w:r>
          </w:p>
        </w:tc>
      </w:tr>
      <w:tr w:rsidR="00757C43" w:rsidRPr="00757C43" w14:paraId="3AB2D9D1" w14:textId="77777777" w:rsidTr="008E6C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9" w:type="pct"/>
            <w:vMerge/>
          </w:tcPr>
          <w:p w14:paraId="4C8E1EDD" w14:textId="77777777" w:rsidR="00757C43" w:rsidRPr="00757C43" w:rsidRDefault="00757C43" w:rsidP="00476592">
            <w:pPr>
              <w:rPr>
                <w:rFonts w:ascii="Times New Roman" w:hAnsi="Times New Roman" w:cs="Times New Roman"/>
                <w:sz w:val="18"/>
                <w:szCs w:val="18"/>
              </w:rPr>
            </w:pPr>
          </w:p>
        </w:tc>
        <w:tc>
          <w:tcPr>
            <w:tcW w:w="1683" w:type="pct"/>
            <w:vMerge/>
          </w:tcPr>
          <w:p w14:paraId="0342DFA0"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98" w:type="pct"/>
            <w:vMerge/>
          </w:tcPr>
          <w:p w14:paraId="3789C0B6"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57C43" w:rsidRPr="00757C43" w14:paraId="4A9DAA73" w14:textId="77777777" w:rsidTr="008E6C50">
        <w:trPr>
          <w:trHeight w:val="280"/>
        </w:trPr>
        <w:tc>
          <w:tcPr>
            <w:cnfStyle w:val="001000000000" w:firstRow="0" w:lastRow="0" w:firstColumn="1" w:lastColumn="0" w:oddVBand="0" w:evenVBand="0" w:oddHBand="0" w:evenHBand="0" w:firstRowFirstColumn="0" w:firstRowLastColumn="0" w:lastRowFirstColumn="0" w:lastRowLastColumn="0"/>
            <w:tcW w:w="219" w:type="pct"/>
            <w:vMerge/>
          </w:tcPr>
          <w:p w14:paraId="7A5AED48" w14:textId="77777777" w:rsidR="00757C43" w:rsidRPr="00757C43" w:rsidRDefault="00757C43" w:rsidP="00476592">
            <w:pPr>
              <w:rPr>
                <w:rFonts w:ascii="Times New Roman" w:hAnsi="Times New Roman" w:cs="Times New Roman"/>
                <w:sz w:val="18"/>
                <w:szCs w:val="18"/>
              </w:rPr>
            </w:pPr>
          </w:p>
        </w:tc>
        <w:tc>
          <w:tcPr>
            <w:tcW w:w="1683" w:type="pct"/>
            <w:vMerge/>
          </w:tcPr>
          <w:p w14:paraId="0D4DD281"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3098" w:type="pct"/>
            <w:vMerge/>
          </w:tcPr>
          <w:p w14:paraId="7D914F57"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57C43" w:rsidRPr="00757C43" w14:paraId="1A1D3FB3" w14:textId="77777777" w:rsidTr="008E6C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9" w:type="pct"/>
            <w:vMerge/>
          </w:tcPr>
          <w:p w14:paraId="1DA0E2B5" w14:textId="77777777" w:rsidR="00757C43" w:rsidRPr="00757C43" w:rsidRDefault="00757C43" w:rsidP="00476592">
            <w:pPr>
              <w:rPr>
                <w:rFonts w:ascii="Times New Roman" w:hAnsi="Times New Roman" w:cs="Times New Roman"/>
                <w:sz w:val="18"/>
                <w:szCs w:val="18"/>
              </w:rPr>
            </w:pPr>
          </w:p>
        </w:tc>
        <w:tc>
          <w:tcPr>
            <w:tcW w:w="1683" w:type="pct"/>
            <w:vMerge/>
          </w:tcPr>
          <w:p w14:paraId="402606EE"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98" w:type="pct"/>
            <w:vMerge/>
          </w:tcPr>
          <w:p w14:paraId="0DE4B5C0"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57C43" w:rsidRPr="00757C43" w14:paraId="6CC157CD" w14:textId="77777777" w:rsidTr="008E6C50">
        <w:trPr>
          <w:trHeight w:val="20"/>
        </w:trPr>
        <w:tc>
          <w:tcPr>
            <w:cnfStyle w:val="001000000000" w:firstRow="0" w:lastRow="0" w:firstColumn="1" w:lastColumn="0" w:oddVBand="0" w:evenVBand="0" w:oddHBand="0" w:evenHBand="0" w:firstRowFirstColumn="0" w:firstRowLastColumn="0" w:lastRowFirstColumn="0" w:lastRowLastColumn="0"/>
            <w:tcW w:w="219" w:type="pct"/>
          </w:tcPr>
          <w:p w14:paraId="6F216B4C"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 xml:space="preserve">7 </w:t>
            </w:r>
          </w:p>
        </w:tc>
        <w:tc>
          <w:tcPr>
            <w:tcW w:w="1683" w:type="pct"/>
          </w:tcPr>
          <w:p w14:paraId="701E486E"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Standard for Safety and Environmental Requirements for Refrigeration System and Heat Pump Services (# SST 70). </w:t>
            </w:r>
          </w:p>
        </w:tc>
        <w:tc>
          <w:tcPr>
            <w:tcW w:w="3098" w:type="pct"/>
          </w:tcPr>
          <w:p w14:paraId="54CD8DAF"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C43">
              <w:rPr>
                <w:rFonts w:ascii="Times New Roman" w:hAnsi="Times New Roman" w:cs="Times New Roman"/>
                <w:sz w:val="18"/>
                <w:szCs w:val="18"/>
              </w:rPr>
              <w:t xml:space="preserve">The standard was enacted in January 2018 </w:t>
            </w:r>
            <w:proofErr w:type="gramStart"/>
            <w:r w:rsidRPr="00757C43">
              <w:rPr>
                <w:rFonts w:ascii="Times New Roman" w:hAnsi="Times New Roman" w:cs="Times New Roman"/>
                <w:sz w:val="18"/>
                <w:szCs w:val="18"/>
              </w:rPr>
              <w:t>on the basis of</w:t>
            </w:r>
            <w:proofErr w:type="gramEnd"/>
            <w:r w:rsidRPr="00757C43">
              <w:rPr>
                <w:rFonts w:ascii="Times New Roman" w:hAnsi="Times New Roman" w:cs="Times New Roman"/>
                <w:sz w:val="18"/>
                <w:szCs w:val="18"/>
              </w:rPr>
              <w:t xml:space="preserve"> the amendment made to the AAP Law (541). The standard relates to the safety and environmental requirements in the installation, operation, maintenance, repair and disposal of refrigerating systems and appliances, maintenance of refrigeration systems and heat pumps, safety rules of personnel working with this equipment. It also includes the rules for handling fluorinated refrigerants, maintenance of refrigeration systems and heat pumps containing ammonia and flammable refrigerants.</w:t>
            </w:r>
          </w:p>
        </w:tc>
      </w:tr>
      <w:tr w:rsidR="00757C43" w:rsidRPr="00757C43" w14:paraId="5DCFA510" w14:textId="77777777" w:rsidTr="008E6C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 w:type="pct"/>
          </w:tcPr>
          <w:p w14:paraId="50523C85"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8</w:t>
            </w:r>
          </w:p>
        </w:tc>
        <w:tc>
          <w:tcPr>
            <w:tcW w:w="1683" w:type="pct"/>
          </w:tcPr>
          <w:p w14:paraId="7DE8ADA1"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The 2016 Waste Management Code (WMC </w:t>
            </w:r>
          </w:p>
        </w:tc>
        <w:tc>
          <w:tcPr>
            <w:tcW w:w="3098" w:type="pct"/>
          </w:tcPr>
          <w:p w14:paraId="6259E83B"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ODS refrigerants for disposal (ODS waste) are classified by the Law as hazardous waste (HW) and therefore its handling is subjected to the requirements set for the management of HW in </w:t>
            </w:r>
            <w:proofErr w:type="gramStart"/>
            <w:r w:rsidRPr="00757C43">
              <w:rPr>
                <w:rFonts w:ascii="Times New Roman" w:hAnsi="Times New Roman" w:cs="Times New Roman"/>
                <w:sz w:val="18"/>
                <w:szCs w:val="18"/>
              </w:rPr>
              <w:t>general;</w:t>
            </w:r>
            <w:proofErr w:type="gramEnd"/>
            <w:r w:rsidRPr="00757C43">
              <w:rPr>
                <w:rFonts w:ascii="Times New Roman" w:hAnsi="Times New Roman" w:cs="Times New Roman"/>
                <w:sz w:val="18"/>
                <w:szCs w:val="18"/>
              </w:rPr>
              <w:t xml:space="preserve"> </w:t>
            </w:r>
          </w:p>
          <w:p w14:paraId="2E2F0B42"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C43">
              <w:rPr>
                <w:rFonts w:ascii="Times New Roman" w:hAnsi="Times New Roman" w:cs="Times New Roman"/>
                <w:sz w:val="18"/>
                <w:szCs w:val="18"/>
              </w:rPr>
              <w:t>Introduces the principle of Extended Producer Responsibility (EPR) for the management of specific waste streams, including Waste Electric and Electronic Equipment (WEEE)</w:t>
            </w:r>
          </w:p>
        </w:tc>
      </w:tr>
      <w:tr w:rsidR="00757C43" w:rsidRPr="00757C43" w14:paraId="315AF35C" w14:textId="77777777" w:rsidTr="008E6C50">
        <w:trPr>
          <w:trHeight w:val="20"/>
        </w:trPr>
        <w:tc>
          <w:tcPr>
            <w:cnfStyle w:val="001000000000" w:firstRow="0" w:lastRow="0" w:firstColumn="1" w:lastColumn="0" w:oddVBand="0" w:evenVBand="0" w:oddHBand="0" w:evenHBand="0" w:firstRowFirstColumn="0" w:firstRowLastColumn="0" w:lastRowFirstColumn="0" w:lastRowLastColumn="0"/>
            <w:tcW w:w="219" w:type="pct"/>
          </w:tcPr>
          <w:p w14:paraId="01FC3899" w14:textId="77777777" w:rsidR="00757C43" w:rsidRPr="00757C43" w:rsidRDefault="00757C43" w:rsidP="00476592">
            <w:pPr>
              <w:rPr>
                <w:rFonts w:ascii="Times New Roman" w:hAnsi="Times New Roman" w:cs="Times New Roman"/>
                <w:b w:val="0"/>
                <w:bCs w:val="0"/>
                <w:sz w:val="18"/>
                <w:szCs w:val="18"/>
              </w:rPr>
            </w:pPr>
            <w:r w:rsidRPr="00757C43">
              <w:rPr>
                <w:rFonts w:ascii="Times New Roman" w:hAnsi="Times New Roman" w:cs="Times New Roman"/>
                <w:sz w:val="18"/>
                <w:szCs w:val="18"/>
              </w:rPr>
              <w:t>9</w:t>
            </w:r>
          </w:p>
        </w:tc>
        <w:tc>
          <w:tcPr>
            <w:tcW w:w="1683" w:type="pct"/>
          </w:tcPr>
          <w:p w14:paraId="4413FAA2"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2016 Government Decree #145 on Technical Regulation Concerning the Special Requirement for Collection and Processing Hazardous Waste (that sets rules for collection, temporary storage, transport and treatment of hazardous waste).</w:t>
            </w:r>
          </w:p>
        </w:tc>
        <w:tc>
          <w:tcPr>
            <w:tcW w:w="3098" w:type="pct"/>
          </w:tcPr>
          <w:p w14:paraId="4D82E368"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C43">
              <w:rPr>
                <w:rFonts w:ascii="Times New Roman" w:hAnsi="Times New Roman" w:cs="Times New Roman"/>
                <w:sz w:val="18"/>
                <w:szCs w:val="18"/>
              </w:rPr>
              <w:t>Specifies the rules for handling of HW.</w:t>
            </w:r>
          </w:p>
        </w:tc>
      </w:tr>
      <w:tr w:rsidR="00757C43" w:rsidRPr="00757C43" w14:paraId="7083943C" w14:textId="77777777" w:rsidTr="008E6C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 w:type="pct"/>
          </w:tcPr>
          <w:p w14:paraId="0936DD74"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10</w:t>
            </w:r>
          </w:p>
        </w:tc>
        <w:tc>
          <w:tcPr>
            <w:tcW w:w="1683" w:type="pct"/>
          </w:tcPr>
          <w:p w14:paraId="18DA5421"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2016 Government Decree TR#89 on Technical Regulation Concerning the Rules for Hazardous Waste Transportation.</w:t>
            </w:r>
          </w:p>
        </w:tc>
        <w:tc>
          <w:tcPr>
            <w:tcW w:w="3098" w:type="pct"/>
          </w:tcPr>
          <w:p w14:paraId="0ADA372E"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C43">
              <w:rPr>
                <w:rFonts w:ascii="Times New Roman" w:hAnsi="Times New Roman" w:cs="Times New Roman"/>
                <w:sz w:val="18"/>
                <w:szCs w:val="18"/>
              </w:rPr>
              <w:t>Defines special requirements for the movement of hazardous waste.</w:t>
            </w:r>
          </w:p>
        </w:tc>
      </w:tr>
      <w:tr w:rsidR="00757C43" w:rsidRPr="00757C43" w14:paraId="46C3A70E" w14:textId="77777777" w:rsidTr="008E6C50">
        <w:trPr>
          <w:trHeight w:val="20"/>
        </w:trPr>
        <w:tc>
          <w:tcPr>
            <w:cnfStyle w:val="001000000000" w:firstRow="0" w:lastRow="0" w:firstColumn="1" w:lastColumn="0" w:oddVBand="0" w:evenVBand="0" w:oddHBand="0" w:evenHBand="0" w:firstRowFirstColumn="0" w:firstRowLastColumn="0" w:lastRowFirstColumn="0" w:lastRowLastColumn="0"/>
            <w:tcW w:w="219" w:type="pct"/>
          </w:tcPr>
          <w:p w14:paraId="02DAA84E"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11</w:t>
            </w:r>
          </w:p>
        </w:tc>
        <w:tc>
          <w:tcPr>
            <w:tcW w:w="1683" w:type="pct"/>
          </w:tcPr>
          <w:p w14:paraId="19775809"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Government Decree #326 on Technical Regulation concerning the Management of Electric and Electronic Equipment in May 2020. </w:t>
            </w:r>
          </w:p>
        </w:tc>
        <w:tc>
          <w:tcPr>
            <w:tcW w:w="3098" w:type="pct"/>
          </w:tcPr>
          <w:p w14:paraId="1278FE62" w14:textId="4D6010B1"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C43">
              <w:rPr>
                <w:rFonts w:ascii="Times New Roman" w:hAnsi="Times New Roman" w:cs="Times New Roman"/>
                <w:sz w:val="18"/>
                <w:szCs w:val="18"/>
              </w:rPr>
              <w:t xml:space="preserve">Producers/importers and retailers of RAC systems are responsible to manage waste that is generated from products they produce/import. Producers/importers of refrigeration and air conditioning (RAC) equipment are responsible to collect and recycle decommissioned RAC equipment. ODS contained in such RAC equipment </w:t>
            </w:r>
            <w:proofErr w:type="gramStart"/>
            <w:r w:rsidRPr="00757C43">
              <w:rPr>
                <w:rFonts w:ascii="Times New Roman" w:hAnsi="Times New Roman" w:cs="Times New Roman"/>
                <w:sz w:val="18"/>
                <w:szCs w:val="18"/>
              </w:rPr>
              <w:t>has to</w:t>
            </w:r>
            <w:proofErr w:type="gramEnd"/>
            <w:r w:rsidRPr="00757C43">
              <w:rPr>
                <w:rFonts w:ascii="Times New Roman" w:hAnsi="Times New Roman" w:cs="Times New Roman"/>
                <w:sz w:val="18"/>
                <w:szCs w:val="18"/>
              </w:rPr>
              <w:t xml:space="preserve"> be recovered, collected and managed as hazardous waste. This regulation is an important tool to address the issue of residual ODS waste emissions. </w:t>
            </w:r>
          </w:p>
        </w:tc>
      </w:tr>
      <w:tr w:rsidR="00757C43" w:rsidRPr="00757C43" w14:paraId="5F543BF9" w14:textId="77777777" w:rsidTr="008E6C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 w:type="pct"/>
          </w:tcPr>
          <w:p w14:paraId="5AEC996E"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12</w:t>
            </w:r>
          </w:p>
        </w:tc>
        <w:tc>
          <w:tcPr>
            <w:tcW w:w="1683" w:type="pct"/>
          </w:tcPr>
          <w:p w14:paraId="41C6E687"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November 2013 and 2014 amendments to Government Decree # 184 “Permission on production, transport, import, export, re-export and transit of restricted chemical substances/goods” </w:t>
            </w:r>
          </w:p>
          <w:p w14:paraId="0686B385"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8A1AD0F"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D791E0B"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A82871A"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C85DB11"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632073A"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98" w:type="pct"/>
          </w:tcPr>
          <w:p w14:paraId="184BECB4"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Introduce the quota and permit systems for export/import/re-export and transit of ODSs.  Further improvement of the quota and permit system was carried out in 2016 by amending the Law on Ambient Air Protection (#4951-IIS) and adopting the new Government Decree # 266 on Technical Regulation Concerning the Issuance of Permit on Import, Export, Re-export of ODSs and Distribution of Annual Quotas of ODSs that revokes Decree # 184. </w:t>
            </w:r>
          </w:p>
          <w:p w14:paraId="33C46472"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Extends the list of banned ODSs – as of May 2021 the export/import/re-export and transit of all CFCs, HBFC and HCFCs is banned with </w:t>
            </w:r>
            <w:proofErr w:type="gramStart"/>
            <w:r w:rsidRPr="00757C43">
              <w:rPr>
                <w:rFonts w:ascii="Times New Roman" w:hAnsi="Times New Roman" w:cs="Times New Roman"/>
                <w:sz w:val="18"/>
                <w:szCs w:val="18"/>
              </w:rPr>
              <w:t>an</w:t>
            </w:r>
            <w:proofErr w:type="gramEnd"/>
            <w:r w:rsidRPr="00757C43">
              <w:rPr>
                <w:rFonts w:ascii="Times New Roman" w:hAnsi="Times New Roman" w:cs="Times New Roman"/>
                <w:sz w:val="18"/>
                <w:szCs w:val="18"/>
              </w:rPr>
              <w:t xml:space="preserve"> exception of HCFC 22. Import/consumption of Methyl Bromide is permitted for quarantine purposes and pre-shipment applications only. Import of RAC equipment pre-charged with HCFC 22 (in a virgin form or as a component of refrigerant blends) is not regulated and is not counted in the HCFC 22 consumption calculations or quotas. It must be also underlined that as the study carried out in the Stage I showed, that majority of RAC equipment that was imported in Georgia during last 3 years does not contain R22 and </w:t>
            </w:r>
            <w:r w:rsidRPr="00757C43">
              <w:rPr>
                <w:rFonts w:ascii="Times New Roman" w:hAnsi="Times New Roman" w:cs="Times New Roman"/>
                <w:sz w:val="18"/>
                <w:szCs w:val="18"/>
              </w:rPr>
              <w:lastRenderedPageBreak/>
              <w:t>its blends but is mainly based on HCFs. Furthermore, the regulation of equipment containing HCFC goes beyond the requirements of the Montreal Protocol.</w:t>
            </w:r>
          </w:p>
          <w:p w14:paraId="104E45F4"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 2014 amendment establishes the quota system for allowed ODSs. Quotas for the bulk HCFC 22 are defined annually by 20 December by the Order of the Minister of Environment Protection and Agriculture in line with the HCFC phaseout schedule. The Decree #266 also sets the quota allocation rules as outlined in the following table.</w:t>
            </w:r>
          </w:p>
          <w:p w14:paraId="25DE61A2"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Decree # 184 (from 2013 to 2016) specifies the rules for obtaining the permit for the import, export, re-export and transit of ODSs, allocation of quota, responsibilities of a permit holder, etc. The permit is issued by the MEPA which is carried out in line with the requirements of the Law on Licenses and Permits.  </w:t>
            </w:r>
          </w:p>
        </w:tc>
      </w:tr>
      <w:tr w:rsidR="00757C43" w:rsidRPr="00757C43" w14:paraId="6ED6D1B5" w14:textId="77777777" w:rsidTr="008E6C50">
        <w:trPr>
          <w:trHeight w:val="20"/>
        </w:trPr>
        <w:tc>
          <w:tcPr>
            <w:cnfStyle w:val="001000000000" w:firstRow="0" w:lastRow="0" w:firstColumn="1" w:lastColumn="0" w:oddVBand="0" w:evenVBand="0" w:oddHBand="0" w:evenHBand="0" w:firstRowFirstColumn="0" w:firstRowLastColumn="0" w:lastRowFirstColumn="0" w:lastRowLastColumn="0"/>
            <w:tcW w:w="219" w:type="pct"/>
          </w:tcPr>
          <w:p w14:paraId="3D8D9B2B" w14:textId="77777777" w:rsidR="00757C43" w:rsidRPr="00757C43" w:rsidRDefault="00757C43" w:rsidP="00476592">
            <w:pPr>
              <w:rPr>
                <w:rFonts w:ascii="Times New Roman" w:hAnsi="Times New Roman" w:cs="Times New Roman"/>
                <w:b w:val="0"/>
                <w:bCs w:val="0"/>
                <w:sz w:val="18"/>
                <w:szCs w:val="18"/>
              </w:rPr>
            </w:pPr>
            <w:r w:rsidRPr="00757C43">
              <w:rPr>
                <w:rFonts w:ascii="Times New Roman" w:hAnsi="Times New Roman" w:cs="Times New Roman"/>
                <w:sz w:val="18"/>
                <w:szCs w:val="18"/>
              </w:rPr>
              <w:lastRenderedPageBreak/>
              <w:t>13</w:t>
            </w:r>
          </w:p>
          <w:p w14:paraId="7C86A70B" w14:textId="77777777" w:rsidR="00757C43" w:rsidRPr="00757C43" w:rsidRDefault="00757C43" w:rsidP="00476592">
            <w:pPr>
              <w:rPr>
                <w:rFonts w:ascii="Times New Roman" w:hAnsi="Times New Roman" w:cs="Times New Roman"/>
                <w:sz w:val="18"/>
                <w:szCs w:val="18"/>
              </w:rPr>
            </w:pPr>
          </w:p>
        </w:tc>
        <w:tc>
          <w:tcPr>
            <w:tcW w:w="1683" w:type="pct"/>
          </w:tcPr>
          <w:p w14:paraId="54C35CD0"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September 2019 Customs Code</w:t>
            </w:r>
          </w:p>
        </w:tc>
        <w:tc>
          <w:tcPr>
            <w:tcW w:w="3098" w:type="pct"/>
          </w:tcPr>
          <w:p w14:paraId="65CC6F4D"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Is aligned with standards and requirements of the EU regulatory framework for Customs. Georgian Customs are applying commodity classification codes which is consistent with the Nomenclature under the International Convention on the Harmonized Commodity Description and Coding System (HS) and is detailed by eleven digits, </w:t>
            </w:r>
            <w:proofErr w:type="gramStart"/>
            <w:r w:rsidRPr="00757C43">
              <w:rPr>
                <w:rFonts w:ascii="Times New Roman" w:hAnsi="Times New Roman" w:cs="Times New Roman"/>
                <w:sz w:val="18"/>
                <w:szCs w:val="18"/>
              </w:rPr>
              <w:t>taking into account</w:t>
            </w:r>
            <w:proofErr w:type="gramEnd"/>
            <w:r w:rsidRPr="00757C43">
              <w:rPr>
                <w:rFonts w:ascii="Times New Roman" w:hAnsi="Times New Roman" w:cs="Times New Roman"/>
                <w:sz w:val="18"/>
                <w:szCs w:val="18"/>
              </w:rPr>
              <w:t xml:space="preserve"> the specifics of the national economy.</w:t>
            </w:r>
          </w:p>
        </w:tc>
      </w:tr>
      <w:tr w:rsidR="00757C43" w:rsidRPr="00757C43" w14:paraId="4478172F" w14:textId="77777777" w:rsidTr="008E6C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 w:type="pct"/>
          </w:tcPr>
          <w:p w14:paraId="42380CCE" w14:textId="77777777" w:rsidR="00757C43" w:rsidRPr="00757C43" w:rsidRDefault="00757C43" w:rsidP="00476592">
            <w:pPr>
              <w:rPr>
                <w:rFonts w:ascii="Times New Roman" w:hAnsi="Times New Roman" w:cs="Times New Roman"/>
                <w:b w:val="0"/>
                <w:bCs w:val="0"/>
                <w:sz w:val="18"/>
                <w:szCs w:val="18"/>
              </w:rPr>
            </w:pPr>
            <w:r w:rsidRPr="00757C43">
              <w:rPr>
                <w:rFonts w:ascii="Times New Roman" w:hAnsi="Times New Roman" w:cs="Times New Roman"/>
                <w:sz w:val="18"/>
                <w:szCs w:val="18"/>
              </w:rPr>
              <w:t>14</w:t>
            </w:r>
          </w:p>
          <w:p w14:paraId="7B502502" w14:textId="77777777" w:rsidR="00757C43" w:rsidRPr="00757C43" w:rsidRDefault="00757C43" w:rsidP="00476592">
            <w:pPr>
              <w:rPr>
                <w:rFonts w:ascii="Times New Roman" w:hAnsi="Times New Roman" w:cs="Times New Roman"/>
                <w:sz w:val="18"/>
                <w:szCs w:val="18"/>
              </w:rPr>
            </w:pPr>
          </w:p>
        </w:tc>
        <w:tc>
          <w:tcPr>
            <w:tcW w:w="1683" w:type="pct"/>
          </w:tcPr>
          <w:p w14:paraId="4CA8A653"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The 2017 Government Decree # 302 on Technical Regulation Concerning the Certification Rules of Technician Servicing RAC Equipment</w:t>
            </w:r>
          </w:p>
        </w:tc>
        <w:tc>
          <w:tcPr>
            <w:tcW w:w="3098" w:type="pct"/>
          </w:tcPr>
          <w:p w14:paraId="7D01ADDE"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Sets detailed rules and procedures conditions for the certification system (how exam is carried out, minimum scores needed for certification, issuance of certificate, appeal the review of exam results). It also defines the minimum qualification requirements for the technicians.</w:t>
            </w:r>
          </w:p>
        </w:tc>
      </w:tr>
      <w:tr w:rsidR="00757C43" w:rsidRPr="00757C43" w14:paraId="2B552451" w14:textId="77777777" w:rsidTr="008E6C50">
        <w:trPr>
          <w:trHeight w:val="20"/>
        </w:trPr>
        <w:tc>
          <w:tcPr>
            <w:cnfStyle w:val="001000000000" w:firstRow="0" w:lastRow="0" w:firstColumn="1" w:lastColumn="0" w:oddVBand="0" w:evenVBand="0" w:oddHBand="0" w:evenHBand="0" w:firstRowFirstColumn="0" w:firstRowLastColumn="0" w:lastRowFirstColumn="0" w:lastRowLastColumn="0"/>
            <w:tcW w:w="219" w:type="pct"/>
          </w:tcPr>
          <w:p w14:paraId="4E1E3187" w14:textId="77777777" w:rsidR="00757C43" w:rsidRPr="00757C43" w:rsidRDefault="00757C43" w:rsidP="00476592">
            <w:pPr>
              <w:rPr>
                <w:rFonts w:ascii="Times New Roman" w:hAnsi="Times New Roman" w:cs="Times New Roman"/>
                <w:sz w:val="18"/>
                <w:szCs w:val="18"/>
              </w:rPr>
            </w:pPr>
            <w:r w:rsidRPr="00757C43">
              <w:rPr>
                <w:rFonts w:ascii="Times New Roman" w:hAnsi="Times New Roman" w:cs="Times New Roman"/>
                <w:sz w:val="18"/>
                <w:szCs w:val="18"/>
              </w:rPr>
              <w:t>15</w:t>
            </w:r>
          </w:p>
        </w:tc>
        <w:tc>
          <w:tcPr>
            <w:tcW w:w="1683" w:type="pct"/>
          </w:tcPr>
          <w:p w14:paraId="775EDE82"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The 2017 Government Decree #304 on Technical Regulation Concerning the Record Keeping and Reporting Rules for Servicing Appliances Containing Refrigerants </w:t>
            </w:r>
          </w:p>
        </w:tc>
        <w:tc>
          <w:tcPr>
            <w:tcW w:w="3098" w:type="pct"/>
          </w:tcPr>
          <w:p w14:paraId="0D8B1299" w14:textId="77777777" w:rsidR="00757C43" w:rsidRPr="00757C43" w:rsidRDefault="00757C43" w:rsidP="004765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Sets specific record keeping and reporting rules, including standardized format for recording refrigerant leaks, recovery and consumption and format for annual reporting. Currently data is entered manually in registration journal and annual reporting form. Once the electronic refrigerant management system is in place, the paper-based record keeping/reporting will be fully substituted by online electronic forms.</w:t>
            </w:r>
          </w:p>
        </w:tc>
      </w:tr>
      <w:tr w:rsidR="00757C43" w:rsidRPr="00757C43" w14:paraId="1458BA35" w14:textId="77777777" w:rsidTr="008E6C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 w:type="pct"/>
          </w:tcPr>
          <w:p w14:paraId="7C5EFBC2" w14:textId="77777777" w:rsidR="00757C43" w:rsidRPr="00757C43" w:rsidRDefault="00757C43" w:rsidP="00476592">
            <w:pPr>
              <w:rPr>
                <w:rFonts w:ascii="Times New Roman" w:hAnsi="Times New Roman" w:cs="Times New Roman"/>
                <w:b w:val="0"/>
                <w:bCs w:val="0"/>
                <w:sz w:val="18"/>
                <w:szCs w:val="18"/>
              </w:rPr>
            </w:pPr>
            <w:r w:rsidRPr="00757C43">
              <w:rPr>
                <w:rFonts w:ascii="Times New Roman" w:hAnsi="Times New Roman" w:cs="Times New Roman"/>
                <w:sz w:val="18"/>
                <w:szCs w:val="18"/>
              </w:rPr>
              <w:t>16</w:t>
            </w:r>
          </w:p>
          <w:p w14:paraId="62ED347D" w14:textId="77777777" w:rsidR="00757C43" w:rsidRPr="00757C43" w:rsidRDefault="00757C43" w:rsidP="00476592">
            <w:pPr>
              <w:rPr>
                <w:rFonts w:ascii="Times New Roman" w:hAnsi="Times New Roman" w:cs="Times New Roman"/>
                <w:sz w:val="18"/>
                <w:szCs w:val="18"/>
              </w:rPr>
            </w:pPr>
          </w:p>
        </w:tc>
        <w:tc>
          <w:tcPr>
            <w:tcW w:w="1683" w:type="pct"/>
          </w:tcPr>
          <w:p w14:paraId="410398B8"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2013 Government Decree (#203) on Technical Regulation Concerning the Installation and Safe Operation of Refrigeration Equipment Based on Ammonia.</w:t>
            </w:r>
          </w:p>
        </w:tc>
        <w:tc>
          <w:tcPr>
            <w:tcW w:w="3098" w:type="pct"/>
          </w:tcPr>
          <w:p w14:paraId="4206A79B" w14:textId="77777777" w:rsidR="00757C43" w:rsidRPr="00757C43" w:rsidRDefault="00757C43" w:rsidP="00476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57C43">
              <w:rPr>
                <w:rFonts w:ascii="Times New Roman" w:hAnsi="Times New Roman" w:cs="Times New Roman"/>
                <w:sz w:val="18"/>
                <w:szCs w:val="18"/>
              </w:rPr>
              <w:t xml:space="preserve">Introduces a set of rules for safe operation of refrigeration equipment </w:t>
            </w:r>
          </w:p>
        </w:tc>
      </w:tr>
    </w:tbl>
    <w:p w14:paraId="2AEC2F03" w14:textId="77777777" w:rsidR="00757C43" w:rsidRPr="006C759F" w:rsidRDefault="00757C43" w:rsidP="00757C43">
      <w:pPr>
        <w:spacing w:before="120" w:after="120"/>
      </w:pPr>
      <w:r w:rsidRPr="006C759F">
        <w:rPr>
          <w:rFonts w:eastAsia="SimSun"/>
          <w:bCs/>
          <w:color w:val="000000"/>
          <w:lang w:eastAsia="zh-CN"/>
        </w:rPr>
        <w:t>In 2014, by signing</w:t>
      </w:r>
      <w:r w:rsidRPr="006C759F">
        <w:rPr>
          <w:rFonts w:eastAsia="SimSun"/>
          <w:b/>
          <w:color w:val="000000"/>
          <w:lang w:eastAsia="zh-CN"/>
        </w:rPr>
        <w:t xml:space="preserve"> </w:t>
      </w:r>
      <w:r w:rsidRPr="006C759F">
        <w:rPr>
          <w:rFonts w:eastAsia="SimSun"/>
          <w:b/>
          <w:i/>
          <w:iCs/>
          <w:color w:val="000000"/>
          <w:lang w:eastAsia="zh-CN"/>
        </w:rPr>
        <w:t>the Association Agreement (AA) with the European Union</w:t>
      </w:r>
      <w:r w:rsidRPr="006C759F">
        <w:rPr>
          <w:rFonts w:eastAsia="SimSun"/>
          <w:bCs/>
          <w:color w:val="000000"/>
          <w:lang w:eastAsia="zh-CN"/>
        </w:rPr>
        <w:t xml:space="preserve"> Georgia</w:t>
      </w:r>
      <w:r w:rsidRPr="006C759F">
        <w:rPr>
          <w:color w:val="000000"/>
          <w:shd w:val="clear" w:color="auto" w:fill="FFFFFF"/>
        </w:rPr>
        <w:t xml:space="preserve"> among other commitments took the responsibility to </w:t>
      </w:r>
      <w:r w:rsidRPr="006C759F">
        <w:t xml:space="preserve">develop and implement measures related to ozone-depleting substances and fluorinated greenhouse gases, as part of the Climate Action (Article 310).  In respect of HCFCs, part of obligations have been already met (i.e. establishment of a ban on the production of controlled substances, except for specific uses; establishment of a ban on the placing on the market and use of controlled substances; use of Methyl Bromide allowed for critical uses and Quarantine and Pre-shipment applications; establishment of a licensing system for the import and export of controlled substances for exempted uses, establishment of procedures for monitoring and inspecting leakages of controlled substances).There are, however, requirements that are yet to be fulfilled. These include: </w:t>
      </w:r>
    </w:p>
    <w:p w14:paraId="41D462ED" w14:textId="77777777" w:rsidR="00757C43" w:rsidRPr="006C759F" w:rsidRDefault="00757C43" w:rsidP="00FA316F">
      <w:pPr>
        <w:pStyle w:val="ListParagraph"/>
        <w:numPr>
          <w:ilvl w:val="0"/>
          <w:numId w:val="25"/>
        </w:numPr>
      </w:pPr>
      <w:r w:rsidRPr="006C759F">
        <w:t xml:space="preserve">the establishment of a ban on the placing on the market and use of controlled substances and for reclaimed HCFCs which might be used as </w:t>
      </w:r>
      <w:proofErr w:type="gramStart"/>
      <w:r w:rsidRPr="006C759F">
        <w:t>refrigerants;</w:t>
      </w:r>
      <w:proofErr w:type="gramEnd"/>
    </w:p>
    <w:p w14:paraId="0BE3F9F7" w14:textId="77777777" w:rsidR="00757C43" w:rsidRPr="006C759F" w:rsidRDefault="00757C43" w:rsidP="00FA316F">
      <w:pPr>
        <w:pStyle w:val="ListParagraph"/>
        <w:numPr>
          <w:ilvl w:val="0"/>
          <w:numId w:val="25"/>
        </w:numPr>
      </w:pPr>
      <w:r w:rsidRPr="006C759F">
        <w:t xml:space="preserve">definition of the conditions for the production, placing on the market and use of controlled substances for exempted uses; and </w:t>
      </w:r>
    </w:p>
    <w:p w14:paraId="43F9205E" w14:textId="77777777" w:rsidR="00757C43" w:rsidRPr="006C759F" w:rsidRDefault="00757C43" w:rsidP="00FA316F">
      <w:pPr>
        <w:pStyle w:val="ListParagraph"/>
        <w:numPr>
          <w:ilvl w:val="0"/>
          <w:numId w:val="25"/>
        </w:numPr>
      </w:pPr>
      <w:r w:rsidRPr="006C759F">
        <w:t>establishment of obligations to recover, recycle, reclaim and destruct used controlled substances.</w:t>
      </w:r>
    </w:p>
    <w:p w14:paraId="162658E0" w14:textId="77777777" w:rsidR="00757C43" w:rsidRDefault="00757C43" w:rsidP="00E53624">
      <w:pPr>
        <w:rPr>
          <w:rFonts w:eastAsia="SimSun"/>
          <w:lang w:eastAsia="zh-CN"/>
        </w:rPr>
      </w:pPr>
    </w:p>
    <w:p w14:paraId="3557FB29" w14:textId="77777777" w:rsidR="00757C43" w:rsidRDefault="00757C43" w:rsidP="00757C43">
      <w:pPr>
        <w:ind w:left="-270"/>
        <w:rPr>
          <w:rFonts w:eastAsia="SimSun"/>
          <w:lang w:eastAsia="zh-CN"/>
        </w:rPr>
      </w:pPr>
    </w:p>
    <w:p w14:paraId="3DD2AE9E" w14:textId="23A9E173" w:rsidR="00A87431" w:rsidRPr="00BB5450" w:rsidRDefault="00397766" w:rsidP="00BB5450">
      <w:pPr>
        <w:pStyle w:val="Heading2"/>
        <w:spacing w:after="0"/>
        <w:ind w:left="578" w:hanging="578"/>
        <w:rPr>
          <w:b/>
        </w:rPr>
      </w:pPr>
      <w:r w:rsidRPr="009E07AC">
        <w:rPr>
          <w:b/>
        </w:rPr>
        <w:t>I.</w:t>
      </w:r>
      <w:r w:rsidR="00417B5B">
        <w:rPr>
          <w:b/>
        </w:rPr>
        <w:t>2</w:t>
      </w:r>
      <w:r w:rsidRPr="009E07AC">
        <w:rPr>
          <w:b/>
        </w:rPr>
        <w:t>.3. Stakeholders</w:t>
      </w:r>
    </w:p>
    <w:p w14:paraId="3AABE6C0" w14:textId="77777777" w:rsidR="00A87431" w:rsidRPr="00D049C8" w:rsidRDefault="00A87431" w:rsidP="00A87431">
      <w:pPr>
        <w:ind w:left="709"/>
        <w:rPr>
          <w:sz w:val="18"/>
          <w:szCs w:val="18"/>
        </w:rPr>
      </w:pPr>
    </w:p>
    <w:p w14:paraId="5B48A484" w14:textId="77777777" w:rsidR="004C396B" w:rsidRPr="004C396B" w:rsidRDefault="004C396B" w:rsidP="004C396B">
      <w:pPr>
        <w:spacing w:after="160"/>
      </w:pPr>
      <w:r w:rsidRPr="004C396B">
        <w:t xml:space="preserve">Several institutions within their respective competences facilitate the implementation of the Ozone Treaties at the national level. The primary responsibility in this respect lies with the </w:t>
      </w:r>
      <w:r w:rsidRPr="004C396B">
        <w:rPr>
          <w:b/>
          <w:bCs/>
          <w:lang w:val="en-US"/>
        </w:rPr>
        <w:t xml:space="preserve">MEPA </w:t>
      </w:r>
      <w:r w:rsidRPr="004C396B">
        <w:rPr>
          <w:lang w:val="en-US"/>
        </w:rPr>
        <w:t xml:space="preserve">that is the main institution in charge of the development and implementation of respective policies. Within the MEPA, </w:t>
      </w:r>
      <w:r w:rsidRPr="004C396B">
        <w:rPr>
          <w:b/>
          <w:bCs/>
          <w:lang w:val="en-US"/>
        </w:rPr>
        <w:t>the Environment and Climate Change Department (ECCD) and its Ambient Air Service (AAS)</w:t>
      </w:r>
      <w:r w:rsidRPr="004C396B">
        <w:rPr>
          <w:lang w:val="en-US"/>
        </w:rPr>
        <w:t xml:space="preserve"> have a lead role in developing policies, emission inventories, control mechanisms and coordinating their implementation. The AAS also acts in the capacity of </w:t>
      </w:r>
      <w:r w:rsidRPr="004C396B">
        <w:rPr>
          <w:i/>
          <w:iCs/>
          <w:lang w:val="en-US"/>
        </w:rPr>
        <w:t>the National Ozone Unit</w:t>
      </w:r>
      <w:r w:rsidRPr="004C396B">
        <w:rPr>
          <w:lang w:val="en-US"/>
        </w:rPr>
        <w:t xml:space="preserve"> (NOU), as it is responsible for coordinating the country's ozone protection efforts and works closely with the multilateral funds and implementing agencies engaged </w:t>
      </w:r>
      <w:proofErr w:type="gramStart"/>
      <w:r w:rsidRPr="004C396B">
        <w:rPr>
          <w:lang w:val="en-US"/>
        </w:rPr>
        <w:t>in the area of</w:t>
      </w:r>
      <w:proofErr w:type="gramEnd"/>
      <w:r w:rsidRPr="004C396B">
        <w:rPr>
          <w:lang w:val="en-US"/>
        </w:rPr>
        <w:t xml:space="preserve"> ODS management. The </w:t>
      </w:r>
      <w:r w:rsidRPr="004C396B">
        <w:rPr>
          <w:b/>
          <w:bCs/>
          <w:lang w:val="en-US"/>
        </w:rPr>
        <w:t xml:space="preserve">Department of Environmental Supervision (DES) </w:t>
      </w:r>
      <w:r w:rsidRPr="004C396B">
        <w:rPr>
          <w:lang w:val="en-US"/>
        </w:rPr>
        <w:t xml:space="preserve">among others is responsible to carry out the control over the compliance of ODS permit holders with the conditions of permit. It also controls the compliance with the obligations </w:t>
      </w:r>
      <w:r w:rsidRPr="004C396B">
        <w:rPr>
          <w:lang w:val="en-US"/>
        </w:rPr>
        <w:lastRenderedPageBreak/>
        <w:t xml:space="preserve">of RAC servicing and maintenance. </w:t>
      </w:r>
      <w:r w:rsidRPr="004C396B">
        <w:rPr>
          <w:b/>
          <w:bCs/>
          <w:lang w:val="en-US"/>
        </w:rPr>
        <w:t xml:space="preserve">The Environmental Information and Education Center (EIEC) </w:t>
      </w:r>
      <w:proofErr w:type="gramStart"/>
      <w:r w:rsidRPr="004C396B">
        <w:rPr>
          <w:lang w:val="en-US"/>
        </w:rPr>
        <w:t>is in charge of</w:t>
      </w:r>
      <w:proofErr w:type="gramEnd"/>
      <w:r w:rsidRPr="004C396B">
        <w:rPr>
          <w:lang w:val="en-US"/>
        </w:rPr>
        <w:t xml:space="preserve"> the Certification System for technicians.  The EIEC also has the largest repository of environmental information including the educational and other material on ODS and ozone layer protection. </w:t>
      </w:r>
      <w:r w:rsidRPr="004C396B">
        <w:rPr>
          <w:b/>
          <w:bCs/>
          <w:lang w:val="en-US"/>
        </w:rPr>
        <w:t>Waste and Chemicals Management Department</w:t>
      </w:r>
      <w:r w:rsidRPr="004C396B">
        <w:rPr>
          <w:lang w:val="en-US"/>
        </w:rPr>
        <w:t xml:space="preserve"> is in charge of setting and coordinating implementation of laws and policies for the management pf solid wastes, including hazardous wastes and specific wastes, subject to EPR (extended </w:t>
      </w:r>
      <w:proofErr w:type="gramStart"/>
      <w:r w:rsidRPr="004C396B">
        <w:rPr>
          <w:lang w:val="en-US"/>
        </w:rPr>
        <w:t>producers</w:t>
      </w:r>
      <w:proofErr w:type="gramEnd"/>
      <w:r w:rsidRPr="004C396B">
        <w:rPr>
          <w:lang w:val="en-US"/>
        </w:rPr>
        <w:t xml:space="preserve"> responsibility) regulations, inclusive WEEE. </w:t>
      </w:r>
      <w:r w:rsidRPr="004C396B">
        <w:rPr>
          <w:b/>
          <w:bCs/>
          <w:lang w:val="en-US"/>
        </w:rPr>
        <w:t>Climate Change Service (Division) under the EECD</w:t>
      </w:r>
      <w:r w:rsidRPr="004C396B">
        <w:rPr>
          <w:lang w:val="en-US"/>
        </w:rPr>
        <w:t xml:space="preserve"> </w:t>
      </w:r>
      <w:proofErr w:type="gramStart"/>
      <w:r w:rsidRPr="004C396B">
        <w:rPr>
          <w:lang w:val="en-US"/>
        </w:rPr>
        <w:t>is in charge of</w:t>
      </w:r>
      <w:proofErr w:type="gramEnd"/>
      <w:r w:rsidRPr="004C396B">
        <w:rPr>
          <w:lang w:val="en-US"/>
        </w:rPr>
        <w:t xml:space="preserve"> setting and implementing climate change policies and </w:t>
      </w:r>
      <w:proofErr w:type="spellStart"/>
      <w:r w:rsidRPr="004C396B">
        <w:rPr>
          <w:lang w:val="en-US"/>
        </w:rPr>
        <w:t>programmes</w:t>
      </w:r>
      <w:proofErr w:type="spellEnd"/>
      <w:r w:rsidRPr="004C396B">
        <w:rPr>
          <w:lang w:val="en-US"/>
        </w:rPr>
        <w:t xml:space="preserve"> and acts as UNFCCC national focal point. It is crucial to enhance cooperation between NOU and Waste and Chemicals Management Department on the one hand, and between NOU and UNFCCC focal point on the other hand </w:t>
      </w:r>
      <w:proofErr w:type="gramStart"/>
      <w:r w:rsidRPr="004C396B">
        <w:rPr>
          <w:lang w:val="en-US"/>
        </w:rPr>
        <w:t>in order to</w:t>
      </w:r>
      <w:proofErr w:type="gramEnd"/>
      <w:r w:rsidRPr="004C396B">
        <w:rPr>
          <w:lang w:val="en-US"/>
        </w:rPr>
        <w:t xml:space="preserve"> implement complementary activities for ODS waste management and implementation of Kigali requirements regarding zero GWP alternatives.</w:t>
      </w:r>
    </w:p>
    <w:p w14:paraId="0CDC54BE" w14:textId="77777777" w:rsidR="004C396B" w:rsidRPr="004C396B" w:rsidRDefault="004C396B" w:rsidP="004C396B">
      <w:pPr>
        <w:pStyle w:val="Default"/>
        <w:jc w:val="both"/>
        <w:rPr>
          <w:sz w:val="22"/>
          <w:szCs w:val="22"/>
        </w:rPr>
      </w:pPr>
      <w:r w:rsidRPr="004C396B">
        <w:rPr>
          <w:b/>
          <w:bCs/>
          <w:sz w:val="22"/>
          <w:szCs w:val="22"/>
        </w:rPr>
        <w:t>Ministry of Finances</w:t>
      </w:r>
      <w:proofErr w:type="gramStart"/>
      <w:r w:rsidRPr="004C396B">
        <w:rPr>
          <w:b/>
          <w:bCs/>
          <w:sz w:val="22"/>
          <w:szCs w:val="22"/>
        </w:rPr>
        <w:t>, and, in particular,</w:t>
      </w:r>
      <w:proofErr w:type="gramEnd"/>
      <w:r w:rsidRPr="004C396B">
        <w:rPr>
          <w:b/>
          <w:bCs/>
          <w:sz w:val="22"/>
          <w:szCs w:val="22"/>
        </w:rPr>
        <w:t xml:space="preserve"> </w:t>
      </w:r>
      <w:r w:rsidRPr="004C396B">
        <w:rPr>
          <w:sz w:val="22"/>
          <w:szCs w:val="22"/>
        </w:rPr>
        <w:t>its</w:t>
      </w:r>
      <w:r w:rsidRPr="004C396B">
        <w:rPr>
          <w:b/>
          <w:bCs/>
          <w:sz w:val="22"/>
          <w:szCs w:val="22"/>
        </w:rPr>
        <w:t xml:space="preserve"> Customs Department</w:t>
      </w:r>
      <w:r w:rsidRPr="004C396B">
        <w:rPr>
          <w:sz w:val="22"/>
          <w:szCs w:val="22"/>
        </w:rPr>
        <w:t xml:space="preserve"> (CD) under </w:t>
      </w:r>
      <w:r w:rsidRPr="004C396B">
        <w:rPr>
          <w:b/>
          <w:bCs/>
          <w:sz w:val="22"/>
          <w:szCs w:val="22"/>
        </w:rPr>
        <w:t>the Revenue Service,</w:t>
      </w:r>
      <w:r w:rsidRPr="004C396B">
        <w:rPr>
          <w:sz w:val="22"/>
          <w:szCs w:val="22"/>
        </w:rPr>
        <w:t xml:space="preserve"> is one of the key institutions in implementing </w:t>
      </w:r>
      <w:r w:rsidRPr="004C396B">
        <w:rPr>
          <w:i/>
          <w:iCs/>
          <w:sz w:val="22"/>
          <w:szCs w:val="22"/>
        </w:rPr>
        <w:t>the Montreal Protocol</w:t>
      </w:r>
      <w:r w:rsidRPr="004C396B">
        <w:rPr>
          <w:sz w:val="22"/>
          <w:szCs w:val="22"/>
        </w:rPr>
        <w:t xml:space="preserve">. The CD among others is also responsible for the detection of offences of customs legislation and has the right to suspend and revoke permits. CD plays an important role in implementing legislations concerning the ODS quota and ODS import/export/ transit permits. It possesses information on import/export of HCFC and HCFC-based equipment/products. Customs Department has a </w:t>
      </w:r>
      <w:proofErr w:type="spellStart"/>
      <w:proofErr w:type="gramStart"/>
      <w:r w:rsidRPr="004C396B">
        <w:rPr>
          <w:sz w:val="22"/>
          <w:szCs w:val="22"/>
        </w:rPr>
        <w:t>well established</w:t>
      </w:r>
      <w:proofErr w:type="spellEnd"/>
      <w:proofErr w:type="gramEnd"/>
      <w:r w:rsidRPr="004C396B">
        <w:rPr>
          <w:sz w:val="22"/>
          <w:szCs w:val="22"/>
        </w:rPr>
        <w:t xml:space="preserve"> cooperation with the NOU. </w:t>
      </w:r>
    </w:p>
    <w:p w14:paraId="7BABA901" w14:textId="77777777" w:rsidR="004C396B" w:rsidRPr="004C396B" w:rsidRDefault="004C396B" w:rsidP="004C396B">
      <w:pPr>
        <w:pStyle w:val="Default"/>
        <w:spacing w:before="160" w:after="160"/>
        <w:jc w:val="both"/>
        <w:rPr>
          <w:sz w:val="22"/>
          <w:szCs w:val="22"/>
        </w:rPr>
      </w:pPr>
      <w:r w:rsidRPr="004C396B">
        <w:rPr>
          <w:b/>
          <w:bCs/>
          <w:sz w:val="22"/>
          <w:szCs w:val="22"/>
        </w:rPr>
        <w:t xml:space="preserve">National Statistics Office of Georgia (GeoStat) </w:t>
      </w:r>
      <w:r w:rsidRPr="004C396B">
        <w:rPr>
          <w:sz w:val="22"/>
          <w:szCs w:val="22"/>
        </w:rPr>
        <w:t xml:space="preserve">is one of the key data providers, that gathers statistical information on imported/exported goods, including RAC equipment. Data, however, are not collected specifically for the HCFC containing equipment. Nevertheless, information that is gathered by GeoStat, is clustered by customs codes that allows to retrieve the needed data as required. </w:t>
      </w:r>
    </w:p>
    <w:p w14:paraId="037F7D1C" w14:textId="77777777" w:rsidR="004C396B" w:rsidRPr="004C396B" w:rsidRDefault="004C396B" w:rsidP="004C396B">
      <w:pPr>
        <w:pStyle w:val="NormalWeb"/>
        <w:shd w:val="clear" w:color="auto" w:fill="FFFFFF"/>
        <w:spacing w:before="120"/>
      </w:pPr>
      <w:r w:rsidRPr="004C396B">
        <w:rPr>
          <w:b/>
          <w:bCs/>
        </w:rPr>
        <w:t xml:space="preserve">Ministry of Economy and Sustainable Development of Georgia through its Division for Energy Efficiency and </w:t>
      </w:r>
      <w:proofErr w:type="gramStart"/>
      <w:r w:rsidRPr="004C396B">
        <w:rPr>
          <w:b/>
          <w:bCs/>
        </w:rPr>
        <w:t>Renewable  Energy</w:t>
      </w:r>
      <w:proofErr w:type="gramEnd"/>
      <w:r w:rsidRPr="004C396B">
        <w:rPr>
          <w:b/>
          <w:bCs/>
        </w:rPr>
        <w:t xml:space="preserve"> Policy Promotion </w:t>
      </w:r>
      <w:r w:rsidRPr="004C396B">
        <w:t>under the</w:t>
      </w:r>
      <w:r w:rsidRPr="004C396B">
        <w:rPr>
          <w:b/>
          <w:bCs/>
        </w:rPr>
        <w:t xml:space="preserve"> </w:t>
      </w:r>
      <w:r w:rsidRPr="004C396B">
        <w:t>Energy Reforms and International Relations Department</w:t>
      </w:r>
      <w:r w:rsidRPr="004C396B">
        <w:rPr>
          <w:b/>
          <w:bCs/>
        </w:rPr>
        <w:t xml:space="preserve"> </w:t>
      </w:r>
      <w:r w:rsidRPr="004C396B">
        <w:t xml:space="preserve">is responsible for developing and coordinating implementation of RE and EE laws and policies thus, it is an important stakeholder, when it refers to synergies between Vienna Convention and its Montreal Protocol and UNFCCC. </w:t>
      </w:r>
    </w:p>
    <w:p w14:paraId="4CEF4475" w14:textId="77777777" w:rsidR="004C396B" w:rsidRPr="004C396B" w:rsidRDefault="004C396B" w:rsidP="004C396B">
      <w:pPr>
        <w:pStyle w:val="NormalWeb"/>
        <w:shd w:val="clear" w:color="auto" w:fill="FFFFFF"/>
        <w:spacing w:before="120"/>
      </w:pPr>
      <w:r w:rsidRPr="004C396B">
        <w:rPr>
          <w:b/>
          <w:bCs/>
        </w:rPr>
        <w:t>Parliament of Georgia together with its Committee on Environment</w:t>
      </w:r>
      <w:r w:rsidRPr="004C396B">
        <w:t xml:space="preserve"> is responsible for initiating, supporting and adopting new legal initiatives and holding various hearings and legal consultation with a broad array of stakeholders </w:t>
      </w:r>
    </w:p>
    <w:p w14:paraId="12221991" w14:textId="77777777" w:rsidR="004C396B" w:rsidRPr="004C396B" w:rsidRDefault="004C396B" w:rsidP="004C396B">
      <w:pPr>
        <w:autoSpaceDE w:val="0"/>
        <w:autoSpaceDN w:val="0"/>
        <w:adjustRightInd w:val="0"/>
        <w:spacing w:before="240"/>
      </w:pPr>
      <w:r w:rsidRPr="004C396B">
        <w:rPr>
          <w:b/>
          <w:bCs/>
          <w:lang w:val="en-US"/>
        </w:rPr>
        <w:t xml:space="preserve">The </w:t>
      </w:r>
      <w:r w:rsidRPr="004C396B">
        <w:rPr>
          <w:b/>
          <w:bCs/>
        </w:rPr>
        <w:t>Georgian Association of Refrigeration and Cryogenic Equipment and Air Conditioning Engineers</w:t>
      </w:r>
      <w:r w:rsidRPr="004C396B">
        <w:rPr>
          <w:i/>
          <w:iCs/>
        </w:rPr>
        <w:t xml:space="preserve"> (</w:t>
      </w:r>
      <w:r w:rsidRPr="004C396B">
        <w:rPr>
          <w:i/>
          <w:iCs/>
          <w:lang w:val="en-US"/>
        </w:rPr>
        <w:t>GARCAE</w:t>
      </w:r>
      <w:r w:rsidRPr="004C396B">
        <w:rPr>
          <w:lang w:val="en-US"/>
        </w:rPr>
        <w:t>)</w:t>
      </w:r>
      <w:r w:rsidRPr="004C396B">
        <w:t xml:space="preserve"> is a non-profit organization that brings together service companies, end-users, scientists and technicians in refrigeration and heat-pump sector. The number of members of GARCAE currently exceeds 200. It serves as a bridge between private sector and state institutions and advises its members and other interested parties on nationally and internationally accepted standards, practices and guidelines for the refrigeration and air-conditioning. In January 2017, MEPA signed a Memorandum of Understanding with the GARCAE to facilitate the swift transition to the implementation of the certification process for technicians and their capacity building in reporting on refrigerant consumption/servicing equipment. </w:t>
      </w:r>
    </w:p>
    <w:p w14:paraId="413B9A14" w14:textId="77777777" w:rsidR="004C396B" w:rsidRPr="004C396B" w:rsidRDefault="004C396B" w:rsidP="004C396B">
      <w:pPr>
        <w:spacing w:before="240"/>
      </w:pPr>
      <w:r w:rsidRPr="004C396B">
        <w:rPr>
          <w:b/>
          <w:bCs/>
        </w:rPr>
        <w:t xml:space="preserve">The Centres for Recovery and Recycling of Refrigerants </w:t>
      </w:r>
      <w:r w:rsidRPr="006C759F">
        <w:t>(CRRR) were established in Tbilisi and Kutaisi. These</w:t>
      </w:r>
      <w:r w:rsidRPr="004C396B">
        <w:t xml:space="preserve"> centres have been founded under GARCAE and operated under its</w:t>
      </w:r>
      <w:r w:rsidRPr="004C396B">
        <w:rPr>
          <w:lang w:val="en-US"/>
        </w:rPr>
        <w:t xml:space="preserve"> overall monitoring and guidance.</w:t>
      </w:r>
      <w:r w:rsidRPr="004C396B">
        <w:t xml:space="preserve"> The CRRR has a role in introducing Good Practices and demonstrating the use of recovery, recycling and reclamation equipment in strengthening the national HCFC re-use system in the servicing market. The CRRR is the only entity in Georgia that has a technical capacity to carry out recycling </w:t>
      </w:r>
      <w:r w:rsidRPr="004C396B">
        <w:rPr>
          <w:color w:val="000000" w:themeColor="text1"/>
        </w:rPr>
        <w:t xml:space="preserve">and reclamation </w:t>
      </w:r>
      <w:r w:rsidRPr="004C396B">
        <w:t>of used ODS refrigerants according to the established international standards. Currently, the Centres however cannot perform RRR as they need to obtain environmental permit needed for performing these activities. Obtaining of the permit will be completed in the nearest future.</w:t>
      </w:r>
    </w:p>
    <w:p w14:paraId="2692D945" w14:textId="77777777" w:rsidR="004C396B" w:rsidRPr="004C396B" w:rsidRDefault="004C396B" w:rsidP="004C396B">
      <w:pPr>
        <w:spacing w:before="240"/>
        <w:rPr>
          <w:sz w:val="24"/>
          <w:lang w:val="ka-GE"/>
        </w:rPr>
      </w:pPr>
      <w:r w:rsidRPr="004C396B">
        <w:rPr>
          <w:b/>
          <w:bCs/>
        </w:rPr>
        <w:t>The Vocational Schools</w:t>
      </w:r>
      <w:r w:rsidRPr="004C396B">
        <w:t xml:space="preserve"> – currently, three national professional level educational schools offer vocational education programmes on modern Air Conditioning operating and servicing principles for technicians. The schools are equipped with basic tools/training equipment that demonstrates HCFC recovery aspects, RAC equipment repair and testing techniques, and distribute learning materials for students in Georgian language.</w:t>
      </w:r>
      <w:r w:rsidRPr="004C396B">
        <w:rPr>
          <w:sz w:val="24"/>
        </w:rPr>
        <w:t xml:space="preserve"> </w:t>
      </w:r>
    </w:p>
    <w:p w14:paraId="6AA5E409" w14:textId="77777777" w:rsidR="004C396B" w:rsidRPr="004C396B" w:rsidRDefault="004C396B" w:rsidP="004C396B">
      <w:pPr>
        <w:spacing w:after="160"/>
      </w:pPr>
      <w:r w:rsidRPr="004C396B">
        <w:rPr>
          <w:b/>
          <w:bCs/>
        </w:rPr>
        <w:lastRenderedPageBreak/>
        <w:t>Business sector</w:t>
      </w:r>
      <w:r w:rsidRPr="004C396B">
        <w:t>, and in particular the operators</w:t>
      </w:r>
      <w:r w:rsidRPr="004C396B">
        <w:rPr>
          <w:lang w:val="ka-GE"/>
        </w:rPr>
        <w:t xml:space="preserve"> </w:t>
      </w:r>
      <w:r w:rsidRPr="004C396B">
        <w:rPr>
          <w:lang w:val="en-US"/>
        </w:rPr>
        <w:t>of</w:t>
      </w:r>
      <w:r w:rsidRPr="004C396B">
        <w:rPr>
          <w:lang w:val="ka-GE"/>
        </w:rPr>
        <w:t xml:space="preserve"> </w:t>
      </w:r>
      <w:r w:rsidRPr="004C396B">
        <w:rPr>
          <w:lang w:val="en-US"/>
        </w:rPr>
        <w:t>RAC equipment in various economic sectors,</w:t>
      </w:r>
      <w:r w:rsidRPr="004C396B">
        <w:t xml:space="preserve"> importers of refrigerants, as well as retailers and RAC equipment, along with technicians are important stakeholders to advance the implementation of HPMP objectives. </w:t>
      </w:r>
    </w:p>
    <w:p w14:paraId="792A2168" w14:textId="77777777" w:rsidR="004C396B" w:rsidRPr="004C396B" w:rsidRDefault="004C396B" w:rsidP="004C396B">
      <w:pPr>
        <w:spacing w:before="120" w:after="160"/>
      </w:pPr>
      <w:r w:rsidRPr="004C396B">
        <w:rPr>
          <w:b/>
          <w:bCs/>
        </w:rPr>
        <w:t xml:space="preserve">Civil Society Organizations (CSOs) (such as CENN, RECC, Greens Movement, GEO, etc) </w:t>
      </w:r>
      <w:r w:rsidRPr="004C396B">
        <w:rPr>
          <w:b/>
          <w:bCs/>
          <w:lang w:val="ka-GE"/>
        </w:rPr>
        <w:t>and</w:t>
      </w:r>
      <w:r w:rsidRPr="004C396B">
        <w:rPr>
          <w:b/>
          <w:bCs/>
          <w:lang w:val="en-US"/>
        </w:rPr>
        <w:t xml:space="preserve"> media</w:t>
      </w:r>
      <w:r w:rsidRPr="004C396B">
        <w:rPr>
          <w:lang w:val="en-US"/>
        </w:rPr>
        <w:t xml:space="preserve"> (social and traditional)</w:t>
      </w:r>
      <w:r w:rsidRPr="004C396B">
        <w:t xml:space="preserve"> play an important role in awareness raising and advocacy about ODS and of ozone layer protection. In addition, eco-schools are annually engaged in awareness campaign ozone layer protection.</w:t>
      </w:r>
    </w:p>
    <w:p w14:paraId="6E9FB09A" w14:textId="66BD6B5B" w:rsidR="00461715" w:rsidRPr="00A67438" w:rsidRDefault="004C396B" w:rsidP="00664CC7">
      <w:pPr>
        <w:keepNext/>
        <w:tabs>
          <w:tab w:val="left" w:pos="720"/>
          <w:tab w:val="right" w:pos="9360"/>
        </w:tabs>
        <w:spacing w:after="120"/>
        <w:rPr>
          <w:rFonts w:eastAsia="SimSun"/>
          <w:lang w:eastAsia="zh-CN"/>
        </w:rPr>
      </w:pPr>
      <w:bookmarkStart w:id="2" w:name="_Hlk177135762"/>
      <w:r w:rsidRPr="00AE48BC">
        <w:rPr>
          <w:rFonts w:eastAsia="SimSun"/>
          <w:b/>
          <w:lang w:val="en-CA" w:eastAsia="zh-CN"/>
        </w:rPr>
        <w:t>I.3</w:t>
      </w:r>
      <w:r w:rsidRPr="00AE48BC">
        <w:rPr>
          <w:rFonts w:eastAsia="SimSun"/>
          <w:b/>
          <w:lang w:val="en-CA" w:eastAsia="zh-CN"/>
        </w:rPr>
        <w:tab/>
        <w:t>HCFC/HFC consumption</w:t>
      </w:r>
    </w:p>
    <w:p w14:paraId="49060C64" w14:textId="75407BA7" w:rsidR="00366853" w:rsidRPr="00366853" w:rsidRDefault="00366853" w:rsidP="00366853">
      <w:pPr>
        <w:spacing w:after="120"/>
      </w:pPr>
      <w:r w:rsidRPr="00366853">
        <w:t xml:space="preserve">The Refrigeration, Air-conditioning and Heat Pumps sector in Georgia is the sole consumer of </w:t>
      </w:r>
      <w:r w:rsidRPr="00366853">
        <w:rPr>
          <w:lang w:val="en-US"/>
        </w:rPr>
        <w:t>HCFCs</w:t>
      </w:r>
      <w:r w:rsidRPr="00366853">
        <w:t xml:space="preserve"> and their alternatives. Artificial refrigerants are not produced in the country and their consumption entirely depends on the import of these substances. The analysis of </w:t>
      </w:r>
      <w:r w:rsidRPr="00366853">
        <w:rPr>
          <w:lang w:val="en-US"/>
        </w:rPr>
        <w:t xml:space="preserve">collected </w:t>
      </w:r>
      <w:r w:rsidRPr="00366853">
        <w:t xml:space="preserve">data indicates that in Georgia only R-22 is currently consumed out of all other HCFCs. The dynamics of consumption of various refrigerants in Georgia is presented in table 4 below. </w:t>
      </w:r>
    </w:p>
    <w:p w14:paraId="08162762" w14:textId="2A127C88" w:rsidR="00366853" w:rsidRDefault="00366853" w:rsidP="00366853">
      <w:pPr>
        <w:pStyle w:val="Caption"/>
      </w:pPr>
      <w:r w:rsidRPr="00C94B87">
        <w:t>Table 4: Data on the consumption of refrigerants in Georgia in 2016-202</w:t>
      </w:r>
      <w:r w:rsidR="007F4BCB" w:rsidRPr="00C94B87">
        <w:t>3</w:t>
      </w:r>
      <w:r w:rsidRPr="00C94B87">
        <w:t xml:space="preserve"> in </w:t>
      </w:r>
      <w:proofErr w:type="spellStart"/>
      <w:r w:rsidRPr="00C94B87">
        <w:t>mt</w:t>
      </w:r>
      <w:proofErr w:type="spellEnd"/>
    </w:p>
    <w:tbl>
      <w:tblPr>
        <w:tblStyle w:val="GridTable4-Accent1"/>
        <w:tblW w:w="5000" w:type="pct"/>
        <w:tblLook w:val="01E0" w:firstRow="1" w:lastRow="1" w:firstColumn="1" w:lastColumn="1" w:noHBand="0" w:noVBand="0"/>
      </w:tblPr>
      <w:tblGrid>
        <w:gridCol w:w="2159"/>
        <w:gridCol w:w="2379"/>
        <w:gridCol w:w="2812"/>
        <w:gridCol w:w="2810"/>
      </w:tblGrid>
      <w:tr w:rsidR="00C94B87" w:rsidRPr="00366853" w14:paraId="7BFF2CE0" w14:textId="77777777" w:rsidTr="00CE1543">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062" w:type="pct"/>
          </w:tcPr>
          <w:p w14:paraId="6628F6A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Year</w:t>
            </w:r>
          </w:p>
        </w:tc>
        <w:tc>
          <w:tcPr>
            <w:cnfStyle w:val="000010000000" w:firstRow="0" w:lastRow="0" w:firstColumn="0" w:lastColumn="0" w:oddVBand="1" w:evenVBand="0" w:oddHBand="0" w:evenHBand="0" w:firstRowFirstColumn="0" w:firstRowLastColumn="0" w:lastRowFirstColumn="0" w:lastRowLastColumn="0"/>
            <w:tcW w:w="1171" w:type="pct"/>
          </w:tcPr>
          <w:p w14:paraId="4C8B88B0"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HCFC-22</w:t>
            </w:r>
          </w:p>
        </w:tc>
        <w:tc>
          <w:tcPr>
            <w:tcW w:w="1384" w:type="pct"/>
          </w:tcPr>
          <w:p w14:paraId="200792DE"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HFC-134a</w:t>
            </w:r>
          </w:p>
        </w:tc>
        <w:tc>
          <w:tcPr>
            <w:cnfStyle w:val="000100000000" w:firstRow="0" w:lastRow="0" w:firstColumn="0" w:lastColumn="1" w:oddVBand="0" w:evenVBand="0" w:oddHBand="0" w:evenHBand="0" w:firstRowFirstColumn="0" w:firstRowLastColumn="0" w:lastRowFirstColumn="0" w:lastRowLastColumn="0"/>
            <w:tcW w:w="1383" w:type="pct"/>
          </w:tcPr>
          <w:p w14:paraId="5D9A1AB3"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HFC-blends*</w:t>
            </w:r>
          </w:p>
        </w:tc>
      </w:tr>
      <w:tr w:rsidR="00C94B87" w:rsidRPr="00366853" w14:paraId="4219C03C" w14:textId="77777777" w:rsidTr="00CE154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pct"/>
          </w:tcPr>
          <w:p w14:paraId="07698424" w14:textId="77777777" w:rsidR="00C94B87" w:rsidRPr="00366853" w:rsidRDefault="00C94B87" w:rsidP="00CE1543">
            <w:pPr>
              <w:jc w:val="center"/>
              <w:rPr>
                <w:rFonts w:ascii="Times New Roman" w:hAnsi="Times New Roman"/>
                <w:sz w:val="18"/>
                <w:szCs w:val="18"/>
                <w:lang w:val="ru-RU"/>
              </w:rPr>
            </w:pPr>
            <w:r w:rsidRPr="00366853">
              <w:rPr>
                <w:rFonts w:ascii="Times New Roman" w:hAnsi="Times New Roman"/>
                <w:sz w:val="18"/>
                <w:szCs w:val="18"/>
              </w:rPr>
              <w:t>20</w:t>
            </w:r>
            <w:r w:rsidRPr="00366853">
              <w:rPr>
                <w:rFonts w:ascii="Times New Roman" w:hAnsi="Times New Roman"/>
                <w:sz w:val="18"/>
                <w:szCs w:val="18"/>
                <w:lang w:val="ru-RU"/>
              </w:rPr>
              <w:t>16</w:t>
            </w:r>
          </w:p>
        </w:tc>
        <w:tc>
          <w:tcPr>
            <w:cnfStyle w:val="000010000000" w:firstRow="0" w:lastRow="0" w:firstColumn="0" w:lastColumn="0" w:oddVBand="1" w:evenVBand="0" w:oddHBand="0" w:evenHBand="0" w:firstRowFirstColumn="0" w:firstRowLastColumn="0" w:lastRowFirstColumn="0" w:lastRowLastColumn="0"/>
            <w:tcW w:w="0" w:type="pct"/>
          </w:tcPr>
          <w:p w14:paraId="75FF08CE"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25.20</w:t>
            </w:r>
          </w:p>
        </w:tc>
        <w:tc>
          <w:tcPr>
            <w:tcW w:w="0" w:type="pct"/>
          </w:tcPr>
          <w:p w14:paraId="5401BBB9"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82.20</w:t>
            </w:r>
          </w:p>
        </w:tc>
        <w:tc>
          <w:tcPr>
            <w:cnfStyle w:val="000100000000" w:firstRow="0" w:lastRow="0" w:firstColumn="0" w:lastColumn="1" w:oddVBand="0" w:evenVBand="0" w:oddHBand="0" w:evenHBand="0" w:firstRowFirstColumn="0" w:firstRowLastColumn="0" w:lastRowFirstColumn="0" w:lastRowLastColumn="0"/>
            <w:tcW w:w="1383" w:type="pct"/>
          </w:tcPr>
          <w:p w14:paraId="618B8FD5" w14:textId="77777777" w:rsidR="00C94B87" w:rsidRPr="00366853" w:rsidRDefault="00C94B87" w:rsidP="00CE1543">
            <w:pPr>
              <w:jc w:val="center"/>
              <w:rPr>
                <w:rFonts w:ascii="Times New Roman" w:hAnsi="Times New Roman"/>
                <w:bCs w:val="0"/>
                <w:color w:val="000000"/>
                <w:sz w:val="18"/>
                <w:szCs w:val="18"/>
              </w:rPr>
            </w:pPr>
            <w:r w:rsidRPr="00366853">
              <w:rPr>
                <w:rFonts w:ascii="Times New Roman" w:hAnsi="Times New Roman"/>
                <w:color w:val="000000"/>
                <w:sz w:val="18"/>
                <w:szCs w:val="18"/>
              </w:rPr>
              <w:t>78.30</w:t>
            </w:r>
          </w:p>
        </w:tc>
      </w:tr>
      <w:tr w:rsidR="00C94B87" w:rsidRPr="00366853" w14:paraId="234297D7" w14:textId="77777777" w:rsidTr="00CE1543">
        <w:trPr>
          <w:trHeight w:val="113"/>
        </w:trPr>
        <w:tc>
          <w:tcPr>
            <w:cnfStyle w:val="001000000000" w:firstRow="0" w:lastRow="0" w:firstColumn="1" w:lastColumn="0" w:oddVBand="0" w:evenVBand="0" w:oddHBand="0" w:evenHBand="0" w:firstRowFirstColumn="0" w:firstRowLastColumn="0" w:lastRowFirstColumn="0" w:lastRowLastColumn="0"/>
            <w:tcW w:w="0" w:type="pct"/>
          </w:tcPr>
          <w:p w14:paraId="70F0A02D" w14:textId="77777777" w:rsidR="00C94B87" w:rsidRPr="00366853" w:rsidRDefault="00C94B87" w:rsidP="00CE1543">
            <w:pPr>
              <w:jc w:val="center"/>
              <w:rPr>
                <w:rFonts w:ascii="Times New Roman" w:hAnsi="Times New Roman"/>
                <w:sz w:val="18"/>
                <w:szCs w:val="18"/>
                <w:lang w:val="ru-RU"/>
              </w:rPr>
            </w:pPr>
            <w:r w:rsidRPr="00366853">
              <w:rPr>
                <w:rFonts w:ascii="Times New Roman" w:hAnsi="Times New Roman"/>
                <w:sz w:val="18"/>
                <w:szCs w:val="18"/>
              </w:rPr>
              <w:t>20</w:t>
            </w:r>
            <w:r w:rsidRPr="00366853">
              <w:rPr>
                <w:rFonts w:ascii="Times New Roman" w:hAnsi="Times New Roman"/>
                <w:sz w:val="18"/>
                <w:szCs w:val="18"/>
                <w:lang w:val="ru-RU"/>
              </w:rPr>
              <w:t>17</w:t>
            </w:r>
          </w:p>
        </w:tc>
        <w:tc>
          <w:tcPr>
            <w:cnfStyle w:val="000010000000" w:firstRow="0" w:lastRow="0" w:firstColumn="0" w:lastColumn="0" w:oddVBand="1" w:evenVBand="0" w:oddHBand="0" w:evenHBand="0" w:firstRowFirstColumn="0" w:firstRowLastColumn="0" w:lastRowFirstColumn="0" w:lastRowLastColumn="0"/>
            <w:tcW w:w="0" w:type="pct"/>
          </w:tcPr>
          <w:p w14:paraId="5A3DCB24"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38.20</w:t>
            </w:r>
          </w:p>
        </w:tc>
        <w:tc>
          <w:tcPr>
            <w:tcW w:w="0" w:type="pct"/>
          </w:tcPr>
          <w:p w14:paraId="0FA71A65"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85.00</w:t>
            </w:r>
          </w:p>
        </w:tc>
        <w:tc>
          <w:tcPr>
            <w:cnfStyle w:val="000100000000" w:firstRow="0" w:lastRow="0" w:firstColumn="0" w:lastColumn="1" w:oddVBand="0" w:evenVBand="0" w:oddHBand="0" w:evenHBand="0" w:firstRowFirstColumn="0" w:firstRowLastColumn="0" w:lastRowFirstColumn="0" w:lastRowLastColumn="0"/>
            <w:tcW w:w="1383" w:type="pct"/>
          </w:tcPr>
          <w:p w14:paraId="18AC40E7" w14:textId="77777777" w:rsidR="00C94B87" w:rsidRPr="00366853" w:rsidRDefault="00C94B87" w:rsidP="00CE1543">
            <w:pPr>
              <w:jc w:val="center"/>
              <w:rPr>
                <w:rFonts w:ascii="Times New Roman" w:hAnsi="Times New Roman"/>
                <w:sz w:val="18"/>
                <w:szCs w:val="18"/>
              </w:rPr>
            </w:pPr>
            <w:r w:rsidRPr="00366853">
              <w:rPr>
                <w:rFonts w:ascii="Times New Roman" w:hAnsi="Times New Roman"/>
                <w:color w:val="000000"/>
                <w:sz w:val="18"/>
                <w:szCs w:val="18"/>
              </w:rPr>
              <w:t>78.50</w:t>
            </w:r>
          </w:p>
        </w:tc>
      </w:tr>
      <w:tr w:rsidR="00C94B87" w:rsidRPr="00366853" w14:paraId="2EC33577" w14:textId="77777777" w:rsidTr="00CE154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pct"/>
          </w:tcPr>
          <w:p w14:paraId="4CC7D63E" w14:textId="77777777" w:rsidR="00C94B87" w:rsidRPr="00366853" w:rsidRDefault="00C94B87" w:rsidP="00CE1543">
            <w:pPr>
              <w:jc w:val="center"/>
              <w:rPr>
                <w:rFonts w:ascii="Times New Roman" w:hAnsi="Times New Roman"/>
                <w:sz w:val="18"/>
                <w:szCs w:val="18"/>
                <w:lang w:val="ru-RU"/>
              </w:rPr>
            </w:pPr>
            <w:r w:rsidRPr="00366853">
              <w:rPr>
                <w:rFonts w:ascii="Times New Roman" w:hAnsi="Times New Roman"/>
                <w:sz w:val="18"/>
                <w:szCs w:val="18"/>
              </w:rPr>
              <w:t>20</w:t>
            </w:r>
            <w:r w:rsidRPr="00366853">
              <w:rPr>
                <w:rFonts w:ascii="Times New Roman" w:hAnsi="Times New Roman"/>
                <w:sz w:val="18"/>
                <w:szCs w:val="18"/>
                <w:lang w:val="ru-RU"/>
              </w:rPr>
              <w:t>18</w:t>
            </w:r>
          </w:p>
        </w:tc>
        <w:tc>
          <w:tcPr>
            <w:cnfStyle w:val="000010000000" w:firstRow="0" w:lastRow="0" w:firstColumn="0" w:lastColumn="0" w:oddVBand="1" w:evenVBand="0" w:oddHBand="0" w:evenHBand="0" w:firstRowFirstColumn="0" w:firstRowLastColumn="0" w:lastRowFirstColumn="0" w:lastRowLastColumn="0"/>
            <w:tcW w:w="0" w:type="pct"/>
          </w:tcPr>
          <w:p w14:paraId="2972D8C6"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34.30</w:t>
            </w:r>
          </w:p>
        </w:tc>
        <w:tc>
          <w:tcPr>
            <w:tcW w:w="0" w:type="pct"/>
          </w:tcPr>
          <w:p w14:paraId="35F2EC03"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72.68</w:t>
            </w:r>
          </w:p>
        </w:tc>
        <w:tc>
          <w:tcPr>
            <w:cnfStyle w:val="000100000000" w:firstRow="0" w:lastRow="0" w:firstColumn="0" w:lastColumn="1" w:oddVBand="0" w:evenVBand="0" w:oddHBand="0" w:evenHBand="0" w:firstRowFirstColumn="0" w:firstRowLastColumn="0" w:lastRowFirstColumn="0" w:lastRowLastColumn="0"/>
            <w:tcW w:w="1383" w:type="pct"/>
          </w:tcPr>
          <w:p w14:paraId="4354FEE3"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86.33</w:t>
            </w:r>
          </w:p>
        </w:tc>
      </w:tr>
      <w:tr w:rsidR="00C94B87" w:rsidRPr="00366853" w14:paraId="352BB2CB" w14:textId="77777777" w:rsidTr="00CE1543">
        <w:trPr>
          <w:trHeight w:val="113"/>
        </w:trPr>
        <w:tc>
          <w:tcPr>
            <w:cnfStyle w:val="001000000000" w:firstRow="0" w:lastRow="0" w:firstColumn="1" w:lastColumn="0" w:oddVBand="0" w:evenVBand="0" w:oddHBand="0" w:evenHBand="0" w:firstRowFirstColumn="0" w:firstRowLastColumn="0" w:lastRowFirstColumn="0" w:lastRowLastColumn="0"/>
            <w:tcW w:w="0" w:type="pct"/>
          </w:tcPr>
          <w:p w14:paraId="11E6D865" w14:textId="77777777" w:rsidR="00C94B87" w:rsidRPr="00366853" w:rsidRDefault="00C94B87" w:rsidP="00CE1543">
            <w:pPr>
              <w:jc w:val="center"/>
              <w:rPr>
                <w:rFonts w:ascii="Times New Roman" w:hAnsi="Times New Roman"/>
                <w:sz w:val="18"/>
                <w:szCs w:val="18"/>
                <w:lang w:val="ru-RU"/>
              </w:rPr>
            </w:pPr>
            <w:r w:rsidRPr="00366853">
              <w:rPr>
                <w:rFonts w:ascii="Times New Roman" w:hAnsi="Times New Roman"/>
                <w:sz w:val="18"/>
                <w:szCs w:val="18"/>
              </w:rPr>
              <w:t>20</w:t>
            </w:r>
            <w:r w:rsidRPr="00366853">
              <w:rPr>
                <w:rFonts w:ascii="Times New Roman" w:hAnsi="Times New Roman"/>
                <w:sz w:val="18"/>
                <w:szCs w:val="18"/>
                <w:lang w:val="ru-RU"/>
              </w:rPr>
              <w:t>19</w:t>
            </w:r>
          </w:p>
        </w:tc>
        <w:tc>
          <w:tcPr>
            <w:cnfStyle w:val="000010000000" w:firstRow="0" w:lastRow="0" w:firstColumn="0" w:lastColumn="0" w:oddVBand="1" w:evenVBand="0" w:oddHBand="0" w:evenHBand="0" w:firstRowFirstColumn="0" w:firstRowLastColumn="0" w:lastRowFirstColumn="0" w:lastRowLastColumn="0"/>
            <w:tcW w:w="0" w:type="pct"/>
          </w:tcPr>
          <w:p w14:paraId="60085D14"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43.59</w:t>
            </w:r>
          </w:p>
        </w:tc>
        <w:tc>
          <w:tcPr>
            <w:tcW w:w="0" w:type="pct"/>
          </w:tcPr>
          <w:p w14:paraId="3BE79F8F"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108.06</w:t>
            </w:r>
          </w:p>
        </w:tc>
        <w:tc>
          <w:tcPr>
            <w:cnfStyle w:val="000100000000" w:firstRow="0" w:lastRow="0" w:firstColumn="0" w:lastColumn="1" w:oddVBand="0" w:evenVBand="0" w:oddHBand="0" w:evenHBand="0" w:firstRowFirstColumn="0" w:firstRowLastColumn="0" w:lastRowFirstColumn="0" w:lastRowLastColumn="0"/>
            <w:tcW w:w="1383" w:type="pct"/>
          </w:tcPr>
          <w:p w14:paraId="3FE0FBE1" w14:textId="77777777" w:rsidR="00C94B87" w:rsidRPr="00366853" w:rsidRDefault="00C94B87" w:rsidP="00CE1543">
            <w:pPr>
              <w:jc w:val="center"/>
              <w:rPr>
                <w:rFonts w:ascii="Times New Roman" w:hAnsi="Times New Roman"/>
                <w:sz w:val="18"/>
                <w:szCs w:val="18"/>
              </w:rPr>
            </w:pPr>
            <w:r w:rsidRPr="00366853">
              <w:rPr>
                <w:rFonts w:ascii="Times New Roman" w:hAnsi="Times New Roman"/>
                <w:color w:val="000000"/>
                <w:sz w:val="18"/>
                <w:szCs w:val="18"/>
              </w:rPr>
              <w:t>95.34</w:t>
            </w:r>
          </w:p>
        </w:tc>
      </w:tr>
      <w:tr w:rsidR="00C94B87" w:rsidRPr="00366853" w14:paraId="2761D73D" w14:textId="77777777" w:rsidTr="00CE154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pct"/>
          </w:tcPr>
          <w:p w14:paraId="6876D73B" w14:textId="77777777" w:rsidR="00C94B87" w:rsidRPr="00366853" w:rsidRDefault="00C94B87" w:rsidP="00CE1543">
            <w:pPr>
              <w:jc w:val="center"/>
              <w:rPr>
                <w:rFonts w:ascii="Times New Roman" w:hAnsi="Times New Roman"/>
                <w:sz w:val="18"/>
                <w:szCs w:val="18"/>
                <w:lang w:val="ru-RU"/>
              </w:rPr>
            </w:pPr>
            <w:r w:rsidRPr="00366853">
              <w:rPr>
                <w:rFonts w:ascii="Times New Roman" w:hAnsi="Times New Roman"/>
                <w:sz w:val="18"/>
                <w:szCs w:val="18"/>
              </w:rPr>
              <w:t>20</w:t>
            </w:r>
            <w:r w:rsidRPr="00366853">
              <w:rPr>
                <w:rFonts w:ascii="Times New Roman" w:hAnsi="Times New Roman"/>
                <w:sz w:val="18"/>
                <w:szCs w:val="18"/>
                <w:lang w:val="ru-RU"/>
              </w:rPr>
              <w:t>20</w:t>
            </w:r>
          </w:p>
        </w:tc>
        <w:tc>
          <w:tcPr>
            <w:cnfStyle w:val="000010000000" w:firstRow="0" w:lastRow="0" w:firstColumn="0" w:lastColumn="0" w:oddVBand="1" w:evenVBand="0" w:oddHBand="0" w:evenHBand="0" w:firstRowFirstColumn="0" w:firstRowLastColumn="0" w:lastRowFirstColumn="0" w:lastRowLastColumn="0"/>
            <w:tcW w:w="0" w:type="pct"/>
          </w:tcPr>
          <w:p w14:paraId="322BE932"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15.50</w:t>
            </w:r>
          </w:p>
        </w:tc>
        <w:tc>
          <w:tcPr>
            <w:tcW w:w="0" w:type="pct"/>
          </w:tcPr>
          <w:p w14:paraId="599DF92E"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33B8E">
              <w:rPr>
                <w:rFonts w:ascii="Times New Roman" w:hAnsi="Times New Roman"/>
                <w:sz w:val="18"/>
                <w:szCs w:val="18"/>
              </w:rPr>
              <w:t>108.7</w:t>
            </w:r>
          </w:p>
        </w:tc>
        <w:tc>
          <w:tcPr>
            <w:cnfStyle w:val="000100000000" w:firstRow="0" w:lastRow="0" w:firstColumn="0" w:lastColumn="1" w:oddVBand="0" w:evenVBand="0" w:oddHBand="0" w:evenHBand="0" w:firstRowFirstColumn="0" w:firstRowLastColumn="0" w:lastRowFirstColumn="0" w:lastRowLastColumn="0"/>
            <w:tcW w:w="1383" w:type="pct"/>
          </w:tcPr>
          <w:p w14:paraId="1C6D47A2" w14:textId="77777777" w:rsidR="00C94B87" w:rsidRPr="00366853" w:rsidRDefault="00C94B87" w:rsidP="00CE1543">
            <w:pPr>
              <w:jc w:val="center"/>
              <w:rPr>
                <w:rFonts w:ascii="Times New Roman" w:hAnsi="Times New Roman"/>
                <w:sz w:val="18"/>
                <w:szCs w:val="18"/>
              </w:rPr>
            </w:pPr>
            <w:r>
              <w:rPr>
                <w:rFonts w:ascii="Times New Roman" w:hAnsi="Times New Roman"/>
                <w:color w:val="000000"/>
                <w:sz w:val="18"/>
                <w:szCs w:val="18"/>
              </w:rPr>
              <w:t>108.2</w:t>
            </w:r>
          </w:p>
        </w:tc>
      </w:tr>
      <w:tr w:rsidR="00C94B87" w:rsidRPr="00366853" w14:paraId="2A59CA69" w14:textId="77777777" w:rsidTr="00CE1543">
        <w:trPr>
          <w:trHeight w:val="113"/>
        </w:trPr>
        <w:tc>
          <w:tcPr>
            <w:cnfStyle w:val="001000000000" w:firstRow="0" w:lastRow="0" w:firstColumn="1" w:lastColumn="0" w:oddVBand="0" w:evenVBand="0" w:oddHBand="0" w:evenHBand="0" w:firstRowFirstColumn="0" w:firstRowLastColumn="0" w:lastRowFirstColumn="0" w:lastRowLastColumn="0"/>
            <w:tcW w:w="0" w:type="pct"/>
          </w:tcPr>
          <w:p w14:paraId="6F8AFA47" w14:textId="77777777" w:rsidR="00C94B87" w:rsidRPr="00366853" w:rsidRDefault="00C94B87" w:rsidP="00CE1543">
            <w:pPr>
              <w:jc w:val="center"/>
              <w:rPr>
                <w:sz w:val="18"/>
                <w:szCs w:val="18"/>
              </w:rPr>
            </w:pPr>
            <w:r>
              <w:rPr>
                <w:sz w:val="18"/>
                <w:szCs w:val="18"/>
              </w:rPr>
              <w:t>2021</w:t>
            </w:r>
          </w:p>
        </w:tc>
        <w:tc>
          <w:tcPr>
            <w:cnfStyle w:val="000010000000" w:firstRow="0" w:lastRow="0" w:firstColumn="0" w:lastColumn="0" w:oddVBand="1" w:evenVBand="0" w:oddHBand="0" w:evenHBand="0" w:firstRowFirstColumn="0" w:firstRowLastColumn="0" w:lastRowFirstColumn="0" w:lastRowLastColumn="0"/>
            <w:tcW w:w="0" w:type="pct"/>
          </w:tcPr>
          <w:p w14:paraId="41B05BB2" w14:textId="77777777" w:rsidR="00C94B87" w:rsidRPr="00366853" w:rsidRDefault="00C94B87" w:rsidP="00CE1543">
            <w:pPr>
              <w:jc w:val="center"/>
              <w:rPr>
                <w:sz w:val="18"/>
                <w:szCs w:val="18"/>
              </w:rPr>
            </w:pPr>
            <w:r>
              <w:rPr>
                <w:sz w:val="18"/>
                <w:szCs w:val="18"/>
              </w:rPr>
              <w:t>16.73</w:t>
            </w:r>
          </w:p>
        </w:tc>
        <w:tc>
          <w:tcPr>
            <w:tcW w:w="0" w:type="pct"/>
          </w:tcPr>
          <w:p w14:paraId="25BA96B4"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125.2</w:t>
            </w:r>
          </w:p>
        </w:tc>
        <w:tc>
          <w:tcPr>
            <w:cnfStyle w:val="000100000000" w:firstRow="0" w:lastRow="0" w:firstColumn="0" w:lastColumn="1" w:oddVBand="0" w:evenVBand="0" w:oddHBand="0" w:evenHBand="0" w:firstRowFirstColumn="0" w:firstRowLastColumn="0" w:lastRowFirstColumn="0" w:lastRowLastColumn="0"/>
            <w:tcW w:w="1383" w:type="pct"/>
          </w:tcPr>
          <w:p w14:paraId="02344578" w14:textId="77777777" w:rsidR="00C94B87" w:rsidRPr="00366853" w:rsidRDefault="00C94B87" w:rsidP="00CE1543">
            <w:pPr>
              <w:jc w:val="center"/>
              <w:rPr>
                <w:color w:val="000000"/>
                <w:sz w:val="18"/>
                <w:szCs w:val="18"/>
              </w:rPr>
            </w:pPr>
            <w:r>
              <w:rPr>
                <w:color w:val="000000"/>
                <w:sz w:val="18"/>
                <w:szCs w:val="18"/>
              </w:rPr>
              <w:t>170.2</w:t>
            </w:r>
          </w:p>
        </w:tc>
      </w:tr>
      <w:tr w:rsidR="00C94B87" w:rsidRPr="00366853" w14:paraId="15631CE1" w14:textId="77777777" w:rsidTr="00CE154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pct"/>
          </w:tcPr>
          <w:p w14:paraId="51B6F25E" w14:textId="77777777" w:rsidR="00C94B87" w:rsidRDefault="00C94B87" w:rsidP="00CE1543">
            <w:pPr>
              <w:jc w:val="center"/>
              <w:rPr>
                <w:sz w:val="18"/>
                <w:szCs w:val="18"/>
              </w:rPr>
            </w:pPr>
            <w:r>
              <w:rPr>
                <w:sz w:val="18"/>
                <w:szCs w:val="18"/>
              </w:rPr>
              <w:t>2022</w:t>
            </w:r>
          </w:p>
        </w:tc>
        <w:tc>
          <w:tcPr>
            <w:cnfStyle w:val="000010000000" w:firstRow="0" w:lastRow="0" w:firstColumn="0" w:lastColumn="0" w:oddVBand="1" w:evenVBand="0" w:oddHBand="0" w:evenHBand="0" w:firstRowFirstColumn="0" w:firstRowLastColumn="0" w:lastRowFirstColumn="0" w:lastRowLastColumn="0"/>
            <w:tcW w:w="0" w:type="pct"/>
          </w:tcPr>
          <w:p w14:paraId="727CD0EB" w14:textId="77777777" w:rsidR="00C94B87" w:rsidRPr="00366853" w:rsidRDefault="00C94B87" w:rsidP="00CE1543">
            <w:pPr>
              <w:jc w:val="center"/>
              <w:rPr>
                <w:sz w:val="18"/>
                <w:szCs w:val="18"/>
              </w:rPr>
            </w:pPr>
            <w:r>
              <w:rPr>
                <w:sz w:val="18"/>
                <w:szCs w:val="18"/>
              </w:rPr>
              <w:t>17.6</w:t>
            </w:r>
          </w:p>
        </w:tc>
        <w:tc>
          <w:tcPr>
            <w:tcW w:w="0" w:type="pct"/>
          </w:tcPr>
          <w:p w14:paraId="3967C03B"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189.1</w:t>
            </w:r>
          </w:p>
        </w:tc>
        <w:tc>
          <w:tcPr>
            <w:cnfStyle w:val="000100000000" w:firstRow="0" w:lastRow="0" w:firstColumn="0" w:lastColumn="1" w:oddVBand="0" w:evenVBand="0" w:oddHBand="0" w:evenHBand="0" w:firstRowFirstColumn="0" w:firstRowLastColumn="0" w:lastRowFirstColumn="0" w:lastRowLastColumn="0"/>
            <w:tcW w:w="1383" w:type="pct"/>
          </w:tcPr>
          <w:p w14:paraId="5C4670D2" w14:textId="77777777" w:rsidR="00C94B87" w:rsidRPr="00366853" w:rsidRDefault="00C94B87" w:rsidP="00CE1543">
            <w:pPr>
              <w:jc w:val="center"/>
              <w:rPr>
                <w:color w:val="000000"/>
                <w:sz w:val="18"/>
                <w:szCs w:val="18"/>
              </w:rPr>
            </w:pPr>
            <w:r>
              <w:rPr>
                <w:color w:val="000000"/>
                <w:sz w:val="18"/>
                <w:szCs w:val="18"/>
              </w:rPr>
              <w:t>180.8</w:t>
            </w:r>
          </w:p>
        </w:tc>
      </w:tr>
      <w:tr w:rsidR="00C94B87" w:rsidRPr="00366853" w14:paraId="299E7728" w14:textId="77777777" w:rsidTr="00CE1543">
        <w:trPr>
          <w:cnfStyle w:val="010000000000" w:firstRow="0" w:lastRow="1"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pct"/>
          </w:tcPr>
          <w:p w14:paraId="1657AF7E" w14:textId="77777777" w:rsidR="00C94B87" w:rsidRDefault="00C94B87" w:rsidP="00CE1543">
            <w:pPr>
              <w:jc w:val="center"/>
              <w:rPr>
                <w:sz w:val="18"/>
                <w:szCs w:val="18"/>
              </w:rPr>
            </w:pPr>
            <w:r>
              <w:rPr>
                <w:sz w:val="18"/>
                <w:szCs w:val="18"/>
              </w:rPr>
              <w:t>2023</w:t>
            </w:r>
          </w:p>
        </w:tc>
        <w:tc>
          <w:tcPr>
            <w:cnfStyle w:val="000010000000" w:firstRow="0" w:lastRow="0" w:firstColumn="0" w:lastColumn="0" w:oddVBand="1" w:evenVBand="0" w:oddHBand="0" w:evenHBand="0" w:firstRowFirstColumn="0" w:firstRowLastColumn="0" w:lastRowFirstColumn="0" w:lastRowLastColumn="0"/>
            <w:tcW w:w="0" w:type="pct"/>
          </w:tcPr>
          <w:p w14:paraId="3CF440C0" w14:textId="77777777" w:rsidR="00C94B87" w:rsidRPr="00933F69" w:rsidRDefault="00C94B87" w:rsidP="00CE1543">
            <w:pPr>
              <w:jc w:val="center"/>
              <w:rPr>
                <w:b w:val="0"/>
                <w:bCs w:val="0"/>
                <w:sz w:val="18"/>
                <w:szCs w:val="18"/>
              </w:rPr>
            </w:pPr>
            <w:r w:rsidRPr="00933F69">
              <w:rPr>
                <w:b w:val="0"/>
                <w:bCs w:val="0"/>
                <w:sz w:val="18"/>
                <w:szCs w:val="18"/>
              </w:rPr>
              <w:t>15.64</w:t>
            </w:r>
          </w:p>
        </w:tc>
        <w:tc>
          <w:tcPr>
            <w:tcW w:w="0" w:type="pct"/>
          </w:tcPr>
          <w:p w14:paraId="0164E6A3" w14:textId="77777777" w:rsidR="00C94B87" w:rsidRPr="00933F69" w:rsidRDefault="00C94B87" w:rsidP="00CE1543">
            <w:pPr>
              <w:jc w:val="center"/>
              <w:cnfStyle w:val="010000000000" w:firstRow="0" w:lastRow="1" w:firstColumn="0" w:lastColumn="0" w:oddVBand="0" w:evenVBand="0" w:oddHBand="0" w:evenHBand="0" w:firstRowFirstColumn="0" w:firstRowLastColumn="0" w:lastRowFirstColumn="0" w:lastRowLastColumn="0"/>
              <w:rPr>
                <w:b w:val="0"/>
                <w:bCs w:val="0"/>
                <w:sz w:val="18"/>
                <w:szCs w:val="18"/>
              </w:rPr>
            </w:pPr>
            <w:r w:rsidRPr="00933F69">
              <w:rPr>
                <w:b w:val="0"/>
                <w:bCs w:val="0"/>
                <w:sz w:val="18"/>
                <w:szCs w:val="18"/>
              </w:rPr>
              <w:t>174.18</w:t>
            </w:r>
          </w:p>
        </w:tc>
        <w:tc>
          <w:tcPr>
            <w:cnfStyle w:val="000100000000" w:firstRow="0" w:lastRow="0" w:firstColumn="0" w:lastColumn="1" w:oddVBand="0" w:evenVBand="0" w:oddHBand="0" w:evenHBand="0" w:firstRowFirstColumn="0" w:firstRowLastColumn="0" w:lastRowFirstColumn="0" w:lastRowLastColumn="0"/>
            <w:tcW w:w="1383" w:type="pct"/>
          </w:tcPr>
          <w:p w14:paraId="16F0A960" w14:textId="77777777" w:rsidR="00C94B87" w:rsidRPr="00366853" w:rsidRDefault="00C94B87" w:rsidP="00CE1543">
            <w:pPr>
              <w:jc w:val="center"/>
              <w:rPr>
                <w:color w:val="000000"/>
                <w:sz w:val="18"/>
                <w:szCs w:val="18"/>
              </w:rPr>
            </w:pPr>
            <w:r w:rsidRPr="00933F69">
              <w:rPr>
                <w:color w:val="000000"/>
                <w:sz w:val="18"/>
                <w:szCs w:val="18"/>
              </w:rPr>
              <w:t>138.13</w:t>
            </w:r>
          </w:p>
        </w:tc>
      </w:tr>
    </w:tbl>
    <w:p w14:paraId="6DCFBDF2" w14:textId="77777777" w:rsidR="00C94B87" w:rsidRPr="00C94B87" w:rsidRDefault="00C94B87" w:rsidP="00C94B87"/>
    <w:p w14:paraId="3C81ADD8" w14:textId="77777777" w:rsidR="00366853" w:rsidRPr="00366853" w:rsidRDefault="00366853" w:rsidP="00366853">
      <w:pPr>
        <w:jc w:val="left"/>
        <w:rPr>
          <w:b/>
          <w:bCs/>
          <w:sz w:val="18"/>
          <w:szCs w:val="18"/>
        </w:rPr>
      </w:pPr>
      <w:r w:rsidRPr="00366853">
        <w:rPr>
          <w:b/>
          <w:bCs/>
          <w:i/>
          <w:iCs/>
          <w:sz w:val="18"/>
          <w:szCs w:val="18"/>
        </w:rPr>
        <w:t xml:space="preserve">Source: </w:t>
      </w:r>
      <w:r w:rsidRPr="00366853">
        <w:rPr>
          <w:b/>
          <w:bCs/>
          <w:sz w:val="18"/>
          <w:szCs w:val="18"/>
        </w:rPr>
        <w:t>CD/MoF</w:t>
      </w:r>
    </w:p>
    <w:p w14:paraId="55F70AA3" w14:textId="77777777" w:rsidR="00366853" w:rsidRDefault="00366853" w:rsidP="00366853">
      <w:pPr>
        <w:pStyle w:val="ListParagraph"/>
        <w:ind w:left="0"/>
        <w:rPr>
          <w:i/>
          <w:iCs/>
          <w:sz w:val="18"/>
          <w:szCs w:val="18"/>
          <w:lang w:val="en-US"/>
        </w:rPr>
      </w:pPr>
      <w:r w:rsidRPr="00366853">
        <w:rPr>
          <w:i/>
          <w:iCs/>
          <w:sz w:val="18"/>
          <w:szCs w:val="18"/>
        </w:rPr>
        <w:t xml:space="preserve">* </w:t>
      </w:r>
      <w:r w:rsidRPr="00366853">
        <w:rPr>
          <w:i/>
          <w:iCs/>
          <w:sz w:val="18"/>
          <w:szCs w:val="18"/>
          <w:lang w:val="en-US"/>
        </w:rPr>
        <w:t>Imported HFCs for various applications include R-410A, R-407C, R-404A, R-32; Imported HFOs: R-1234yf in car air conditioners; Imported HCs include R-600a for domestic refrigerators, R-290 - in chillers and ammonia is only used in few beverage plants.</w:t>
      </w:r>
    </w:p>
    <w:p w14:paraId="2073B4EB" w14:textId="77777777" w:rsidR="00064FF4" w:rsidRPr="00366853" w:rsidRDefault="00064FF4" w:rsidP="00366853">
      <w:pPr>
        <w:pStyle w:val="ListParagraph"/>
        <w:ind w:left="0"/>
        <w:rPr>
          <w:i/>
          <w:iCs/>
          <w:sz w:val="18"/>
          <w:szCs w:val="18"/>
          <w:lang w:val="en-US"/>
        </w:rPr>
      </w:pPr>
    </w:p>
    <w:p w14:paraId="016000E3" w14:textId="10D472F9" w:rsidR="00366853" w:rsidRPr="00366853" w:rsidRDefault="00366853" w:rsidP="008E6C50">
      <w:pPr>
        <w:spacing w:after="120"/>
      </w:pPr>
      <w:r w:rsidRPr="00366853">
        <w:t xml:space="preserve">In 2016 and 2017 the import of HCFC-22 was undertaken by 5 registered companies/importers (see Table 5) but in 2020 this refrigerant was imported by only one company – </w:t>
      </w:r>
      <w:proofErr w:type="spellStart"/>
      <w:r w:rsidRPr="00366853">
        <w:t>Nemera</w:t>
      </w:r>
      <w:proofErr w:type="spellEnd"/>
      <w:r w:rsidRPr="00366853">
        <w:t xml:space="preserve"> Ltd, which is the main importer of refrigerants in Georgia. Although, </w:t>
      </w:r>
      <w:r w:rsidR="00A62442">
        <w:t xml:space="preserve">the </w:t>
      </w:r>
      <w:r w:rsidRPr="00366853">
        <w:t xml:space="preserve">COVID-19 pandemic had a major impact on the refrigerant’s imports, the overall downward trend of the demand on HCFC-22 is being observed irrespective of the pandemic situation. At the same time, it should be </w:t>
      </w:r>
      <w:r w:rsidR="00A62442" w:rsidRPr="00366853">
        <w:t>considered</w:t>
      </w:r>
      <w:r w:rsidRPr="00366853">
        <w:t xml:space="preserve"> that 15.5 metric tons of refrigerant</w:t>
      </w:r>
      <w:r w:rsidR="00A62442">
        <w:t>s</w:t>
      </w:r>
      <w:r w:rsidRPr="00366853">
        <w:t xml:space="preserve"> imported in 2020 is not enough to fully cover the annual consumption of this substance. </w:t>
      </w:r>
      <w:r w:rsidR="00A62442">
        <w:t>Due to t</w:t>
      </w:r>
      <w:r w:rsidRPr="00366853">
        <w:t>he COVID 19 related slowdown of economic activities and partial disruption of supplies, the consumption of HCFCs in 2020 does not reflect the existing consumption trend</w:t>
      </w:r>
      <w:r w:rsidR="00A62442">
        <w:t>s</w:t>
      </w:r>
      <w:r w:rsidRPr="00366853">
        <w:t xml:space="preserve">. Due to further aging HCFC 22 based equipment, </w:t>
      </w:r>
      <w:r w:rsidR="00A62442">
        <w:t xml:space="preserve">there is a </w:t>
      </w:r>
      <w:r w:rsidRPr="00366853">
        <w:t xml:space="preserve">risk that HCFC emissions will </w:t>
      </w:r>
      <w:proofErr w:type="gramStart"/>
      <w:r w:rsidRPr="00366853">
        <w:t>increase  as</w:t>
      </w:r>
      <w:proofErr w:type="gramEnd"/>
      <w:r w:rsidRPr="00366853">
        <w:t xml:space="preserve"> a result of leakage. This will eventually drive the consumption of HCFC 22 slightly upward. Therefore, Stage II incorporates measures to address this risk and prevent potential increase of the demand on HCFC 22. </w:t>
      </w:r>
      <w:r w:rsidRPr="001E3ED8">
        <w:t xml:space="preserve"> </w:t>
      </w:r>
    </w:p>
    <w:p w14:paraId="5B0EA6A1" w14:textId="77777777" w:rsidR="00366853" w:rsidRDefault="00366853" w:rsidP="00C94B87">
      <w:pPr>
        <w:pStyle w:val="Caption"/>
        <w:rPr>
          <w:b/>
          <w:bCs/>
        </w:rPr>
      </w:pPr>
      <w:r w:rsidRPr="00C94B87">
        <w:rPr>
          <w:b/>
          <w:bCs/>
        </w:rPr>
        <w:t xml:space="preserve">Table </w:t>
      </w:r>
      <w:r w:rsidRPr="00C94B87">
        <w:rPr>
          <w:b/>
          <w:bCs/>
          <w:lang w:val="en-US"/>
        </w:rPr>
        <w:t>5</w:t>
      </w:r>
      <w:r w:rsidRPr="00C94B87">
        <w:rPr>
          <w:b/>
          <w:bCs/>
        </w:rPr>
        <w:t>: List of HCFCs importers in Georgia</w:t>
      </w:r>
    </w:p>
    <w:tbl>
      <w:tblPr>
        <w:tblStyle w:val="GridTable4-Accent1"/>
        <w:tblW w:w="5000" w:type="pct"/>
        <w:tblLook w:val="04A0" w:firstRow="1" w:lastRow="0" w:firstColumn="1" w:lastColumn="0" w:noHBand="0" w:noVBand="1"/>
      </w:tblPr>
      <w:tblGrid>
        <w:gridCol w:w="2739"/>
        <w:gridCol w:w="3914"/>
        <w:gridCol w:w="3507"/>
      </w:tblGrid>
      <w:tr w:rsidR="00C94B87" w:rsidRPr="00366853" w14:paraId="41EBE08B" w14:textId="77777777" w:rsidTr="00CE154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8" w:type="pct"/>
          </w:tcPr>
          <w:p w14:paraId="4EAA40E1" w14:textId="77777777" w:rsidR="00C94B87" w:rsidRPr="00366853" w:rsidRDefault="00C94B87" w:rsidP="00CE1543">
            <w:pPr>
              <w:jc w:val="center"/>
              <w:rPr>
                <w:rFonts w:ascii="Times New Roman" w:hAnsi="Times New Roman"/>
                <w:sz w:val="20"/>
                <w:szCs w:val="20"/>
              </w:rPr>
            </w:pPr>
            <w:r w:rsidRPr="00366853">
              <w:rPr>
                <w:rFonts w:ascii="Times New Roman" w:hAnsi="Times New Roman"/>
                <w:sz w:val="20"/>
                <w:szCs w:val="20"/>
              </w:rPr>
              <w:t>N</w:t>
            </w:r>
          </w:p>
        </w:tc>
        <w:tc>
          <w:tcPr>
            <w:tcW w:w="1926" w:type="pct"/>
          </w:tcPr>
          <w:p w14:paraId="7487D578"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Name of the Permit holder</w:t>
            </w:r>
          </w:p>
        </w:tc>
        <w:tc>
          <w:tcPr>
            <w:tcW w:w="1726" w:type="pct"/>
          </w:tcPr>
          <w:p w14:paraId="1A1565B7"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Permitted import quantity (metric tons)</w:t>
            </w:r>
          </w:p>
        </w:tc>
      </w:tr>
      <w:tr w:rsidR="00C94B87" w:rsidRPr="00366853" w14:paraId="7A41877E"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3"/>
          </w:tcPr>
          <w:p w14:paraId="1111FDC7" w14:textId="77777777" w:rsidR="00C94B87" w:rsidRPr="00366853" w:rsidRDefault="00C94B87" w:rsidP="00CE1543">
            <w:pPr>
              <w:jc w:val="center"/>
              <w:rPr>
                <w:rFonts w:ascii="Times New Roman" w:hAnsi="Times New Roman"/>
                <w:sz w:val="20"/>
                <w:szCs w:val="20"/>
              </w:rPr>
            </w:pPr>
            <w:r>
              <w:rPr>
                <w:rFonts w:ascii="Times New Roman" w:hAnsi="Times New Roman"/>
                <w:sz w:val="20"/>
                <w:szCs w:val="20"/>
              </w:rPr>
              <w:t>2023</w:t>
            </w:r>
          </w:p>
        </w:tc>
      </w:tr>
      <w:tr w:rsidR="00C94B87" w:rsidRPr="00366853" w14:paraId="01C6A04D"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348" w:type="pct"/>
          </w:tcPr>
          <w:p w14:paraId="3EF7E290" w14:textId="77777777" w:rsidR="00C94B87" w:rsidRPr="00366853" w:rsidRDefault="00C94B87" w:rsidP="00CE1543">
            <w:pPr>
              <w:jc w:val="center"/>
              <w:rPr>
                <w:rFonts w:ascii="Times New Roman" w:hAnsi="Times New Roman"/>
                <w:sz w:val="20"/>
                <w:szCs w:val="20"/>
              </w:rPr>
            </w:pPr>
            <w:r w:rsidRPr="00366853">
              <w:rPr>
                <w:rFonts w:ascii="Times New Roman" w:hAnsi="Times New Roman"/>
                <w:sz w:val="20"/>
                <w:szCs w:val="20"/>
              </w:rPr>
              <w:t>1</w:t>
            </w:r>
          </w:p>
        </w:tc>
        <w:tc>
          <w:tcPr>
            <w:tcW w:w="1926" w:type="pct"/>
          </w:tcPr>
          <w:p w14:paraId="46BB7678" w14:textId="77777777" w:rsidR="00C94B87" w:rsidRPr="00366853" w:rsidRDefault="00C94B87" w:rsidP="00CE154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w:t>
            </w:r>
            <w:r>
              <w:rPr>
                <w:rFonts w:ascii="Times New Roman" w:hAnsi="Times New Roman"/>
                <w:sz w:val="20"/>
                <w:szCs w:val="20"/>
              </w:rPr>
              <w:t>CNG 2015</w:t>
            </w:r>
            <w:r w:rsidRPr="00366853">
              <w:rPr>
                <w:rFonts w:ascii="Times New Roman" w:hAnsi="Times New Roman"/>
                <w:sz w:val="20"/>
                <w:szCs w:val="20"/>
              </w:rPr>
              <w:t>” LLC</w:t>
            </w:r>
          </w:p>
        </w:tc>
        <w:tc>
          <w:tcPr>
            <w:tcW w:w="1726" w:type="pct"/>
          </w:tcPr>
          <w:p w14:paraId="20BCB05D"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6</w:t>
            </w:r>
          </w:p>
        </w:tc>
      </w:tr>
      <w:tr w:rsidR="00C94B87" w:rsidRPr="00366853" w14:paraId="4F5757F9"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8" w:type="pct"/>
          </w:tcPr>
          <w:p w14:paraId="3C006C82" w14:textId="77777777" w:rsidR="00C94B87" w:rsidRPr="00366853" w:rsidRDefault="00C94B87" w:rsidP="00CE1543">
            <w:pPr>
              <w:jc w:val="center"/>
              <w:rPr>
                <w:rFonts w:ascii="Times New Roman" w:hAnsi="Times New Roman"/>
                <w:sz w:val="20"/>
                <w:szCs w:val="20"/>
              </w:rPr>
            </w:pPr>
            <w:r w:rsidRPr="00366853">
              <w:rPr>
                <w:rFonts w:ascii="Times New Roman" w:hAnsi="Times New Roman"/>
                <w:sz w:val="20"/>
                <w:szCs w:val="20"/>
              </w:rPr>
              <w:t>2</w:t>
            </w:r>
          </w:p>
        </w:tc>
        <w:tc>
          <w:tcPr>
            <w:tcW w:w="1926" w:type="pct"/>
          </w:tcPr>
          <w:p w14:paraId="774F9C74" w14:textId="77777777" w:rsidR="00C94B87" w:rsidRPr="00366853" w:rsidRDefault="00C94B87" w:rsidP="00CE154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w:t>
            </w:r>
            <w:proofErr w:type="spellStart"/>
            <w:r w:rsidRPr="00366853">
              <w:rPr>
                <w:rFonts w:ascii="Times New Roman" w:hAnsi="Times New Roman"/>
                <w:sz w:val="20"/>
                <w:szCs w:val="20"/>
              </w:rPr>
              <w:t>Nemera</w:t>
            </w:r>
            <w:proofErr w:type="spellEnd"/>
            <w:r w:rsidRPr="00366853">
              <w:rPr>
                <w:rFonts w:ascii="Times New Roman" w:hAnsi="Times New Roman"/>
                <w:sz w:val="20"/>
                <w:szCs w:val="20"/>
              </w:rPr>
              <w:t>” LLC</w:t>
            </w:r>
          </w:p>
        </w:tc>
        <w:tc>
          <w:tcPr>
            <w:tcW w:w="1726" w:type="pct"/>
          </w:tcPr>
          <w:p w14:paraId="44320E31"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9.667</w:t>
            </w:r>
          </w:p>
        </w:tc>
      </w:tr>
      <w:tr w:rsidR="00C94B87" w:rsidRPr="00366853" w14:paraId="4FE02E07"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348" w:type="pct"/>
          </w:tcPr>
          <w:p w14:paraId="64D6D40E" w14:textId="77777777" w:rsidR="00C94B87" w:rsidRPr="00366853" w:rsidRDefault="00C94B87" w:rsidP="00CE1543">
            <w:pPr>
              <w:jc w:val="center"/>
              <w:rPr>
                <w:rFonts w:ascii="Times New Roman" w:hAnsi="Times New Roman"/>
                <w:sz w:val="20"/>
                <w:szCs w:val="20"/>
              </w:rPr>
            </w:pPr>
            <w:r w:rsidRPr="00366853">
              <w:rPr>
                <w:rFonts w:ascii="Times New Roman" w:hAnsi="Times New Roman"/>
                <w:sz w:val="20"/>
                <w:szCs w:val="20"/>
              </w:rPr>
              <w:t>3</w:t>
            </w:r>
          </w:p>
        </w:tc>
        <w:tc>
          <w:tcPr>
            <w:tcW w:w="1926" w:type="pct"/>
          </w:tcPr>
          <w:p w14:paraId="20920CCE" w14:textId="77777777" w:rsidR="00C94B87" w:rsidRPr="00366853" w:rsidRDefault="00C94B87" w:rsidP="00CE154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“Refco” LLC</w:t>
            </w:r>
          </w:p>
        </w:tc>
        <w:tc>
          <w:tcPr>
            <w:tcW w:w="1726" w:type="pct"/>
          </w:tcPr>
          <w:p w14:paraId="1E020E02"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125E8">
              <w:rPr>
                <w:rFonts w:ascii="Times New Roman" w:hAnsi="Times New Roman"/>
                <w:sz w:val="20"/>
                <w:szCs w:val="20"/>
              </w:rPr>
              <w:t>9.667</w:t>
            </w:r>
          </w:p>
        </w:tc>
      </w:tr>
      <w:tr w:rsidR="00C94B87" w:rsidRPr="00366853" w14:paraId="7B80E27D"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8" w:type="pct"/>
          </w:tcPr>
          <w:p w14:paraId="6652B16F" w14:textId="77777777" w:rsidR="00C94B87" w:rsidRPr="00366853" w:rsidRDefault="00C94B87" w:rsidP="00CE1543">
            <w:pPr>
              <w:jc w:val="center"/>
              <w:rPr>
                <w:rFonts w:ascii="Times New Roman" w:hAnsi="Times New Roman"/>
                <w:sz w:val="20"/>
                <w:szCs w:val="20"/>
              </w:rPr>
            </w:pPr>
            <w:r w:rsidRPr="00366853">
              <w:rPr>
                <w:rFonts w:ascii="Times New Roman" w:hAnsi="Times New Roman"/>
                <w:sz w:val="20"/>
                <w:szCs w:val="20"/>
              </w:rPr>
              <w:t>4</w:t>
            </w:r>
          </w:p>
        </w:tc>
        <w:tc>
          <w:tcPr>
            <w:tcW w:w="1926" w:type="pct"/>
          </w:tcPr>
          <w:p w14:paraId="0D6DE8F0" w14:textId="77777777" w:rsidR="00C94B87" w:rsidRPr="00366853" w:rsidRDefault="00C94B87" w:rsidP="00CE154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w:t>
            </w:r>
            <w:proofErr w:type="spellStart"/>
            <w:r>
              <w:rPr>
                <w:rFonts w:ascii="Times New Roman" w:hAnsi="Times New Roman"/>
                <w:sz w:val="20"/>
                <w:szCs w:val="20"/>
              </w:rPr>
              <w:t>Klimati</w:t>
            </w:r>
            <w:proofErr w:type="spellEnd"/>
            <w:r w:rsidRPr="00366853">
              <w:rPr>
                <w:rFonts w:ascii="Times New Roman" w:hAnsi="Times New Roman"/>
                <w:sz w:val="20"/>
                <w:szCs w:val="20"/>
              </w:rPr>
              <w:t>” LLC</w:t>
            </w:r>
          </w:p>
        </w:tc>
        <w:tc>
          <w:tcPr>
            <w:tcW w:w="1726" w:type="pct"/>
          </w:tcPr>
          <w:p w14:paraId="4C8DEB18"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9.667</w:t>
            </w:r>
          </w:p>
        </w:tc>
      </w:tr>
      <w:tr w:rsidR="00C94B87" w:rsidRPr="00366853" w14:paraId="678A2470"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3"/>
          </w:tcPr>
          <w:p w14:paraId="1A7DCF65" w14:textId="77777777" w:rsidR="00C94B87" w:rsidRPr="00366853" w:rsidRDefault="00C94B87" w:rsidP="00CE1543">
            <w:pPr>
              <w:jc w:val="center"/>
              <w:rPr>
                <w:rFonts w:ascii="Times New Roman" w:hAnsi="Times New Roman"/>
                <w:sz w:val="20"/>
                <w:szCs w:val="20"/>
              </w:rPr>
            </w:pPr>
            <w:r>
              <w:rPr>
                <w:rFonts w:ascii="Times New Roman" w:hAnsi="Times New Roman"/>
                <w:sz w:val="20"/>
                <w:szCs w:val="20"/>
              </w:rPr>
              <w:t>2024</w:t>
            </w:r>
          </w:p>
        </w:tc>
      </w:tr>
      <w:tr w:rsidR="00C94B87" w:rsidRPr="00366853" w14:paraId="6148521E"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8" w:type="pct"/>
          </w:tcPr>
          <w:p w14:paraId="39A4D938" w14:textId="77777777" w:rsidR="00C94B87" w:rsidRPr="00366853" w:rsidRDefault="00C94B87" w:rsidP="00CE1543">
            <w:pPr>
              <w:jc w:val="center"/>
              <w:rPr>
                <w:rFonts w:ascii="Times New Roman" w:hAnsi="Times New Roman"/>
                <w:sz w:val="20"/>
                <w:szCs w:val="20"/>
              </w:rPr>
            </w:pPr>
            <w:r w:rsidRPr="00366853">
              <w:rPr>
                <w:rFonts w:ascii="Times New Roman" w:hAnsi="Times New Roman"/>
                <w:sz w:val="20"/>
                <w:szCs w:val="20"/>
              </w:rPr>
              <w:t>1</w:t>
            </w:r>
          </w:p>
        </w:tc>
        <w:tc>
          <w:tcPr>
            <w:tcW w:w="1926" w:type="pct"/>
          </w:tcPr>
          <w:p w14:paraId="042E0ED7" w14:textId="77777777" w:rsidR="00C94B87" w:rsidRPr="00366853" w:rsidRDefault="00C94B87" w:rsidP="00CE154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w:t>
            </w:r>
            <w:r>
              <w:rPr>
                <w:rFonts w:ascii="Times New Roman" w:hAnsi="Times New Roman"/>
                <w:sz w:val="20"/>
                <w:szCs w:val="20"/>
              </w:rPr>
              <w:t>CNG 2015</w:t>
            </w:r>
            <w:r w:rsidRPr="00366853">
              <w:rPr>
                <w:rFonts w:ascii="Times New Roman" w:hAnsi="Times New Roman"/>
                <w:sz w:val="20"/>
                <w:szCs w:val="20"/>
              </w:rPr>
              <w:t>” LLC</w:t>
            </w:r>
          </w:p>
        </w:tc>
        <w:tc>
          <w:tcPr>
            <w:tcW w:w="1726" w:type="pct"/>
          </w:tcPr>
          <w:p w14:paraId="75FC0B3E"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3.0</w:t>
            </w:r>
          </w:p>
        </w:tc>
      </w:tr>
      <w:tr w:rsidR="00C94B87" w:rsidRPr="00366853" w14:paraId="0FECDF28"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348" w:type="pct"/>
          </w:tcPr>
          <w:p w14:paraId="2E8327D5" w14:textId="77777777" w:rsidR="00C94B87" w:rsidRPr="00366853" w:rsidRDefault="00C94B87" w:rsidP="00CE1543">
            <w:pPr>
              <w:jc w:val="center"/>
              <w:rPr>
                <w:rFonts w:ascii="Times New Roman" w:hAnsi="Times New Roman"/>
                <w:sz w:val="20"/>
                <w:szCs w:val="20"/>
              </w:rPr>
            </w:pPr>
            <w:r w:rsidRPr="00366853">
              <w:rPr>
                <w:rFonts w:ascii="Times New Roman" w:hAnsi="Times New Roman"/>
                <w:sz w:val="20"/>
                <w:szCs w:val="20"/>
              </w:rPr>
              <w:t>2</w:t>
            </w:r>
          </w:p>
        </w:tc>
        <w:tc>
          <w:tcPr>
            <w:tcW w:w="1926" w:type="pct"/>
          </w:tcPr>
          <w:p w14:paraId="789BF589" w14:textId="77777777" w:rsidR="00C94B87" w:rsidRPr="00366853" w:rsidRDefault="00C94B87" w:rsidP="00CE154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w:t>
            </w:r>
            <w:proofErr w:type="spellStart"/>
            <w:r w:rsidRPr="00366853">
              <w:rPr>
                <w:rFonts w:ascii="Times New Roman" w:hAnsi="Times New Roman"/>
                <w:sz w:val="20"/>
                <w:szCs w:val="20"/>
              </w:rPr>
              <w:t>Nemera</w:t>
            </w:r>
            <w:proofErr w:type="spellEnd"/>
            <w:r w:rsidRPr="00366853">
              <w:rPr>
                <w:rFonts w:ascii="Times New Roman" w:hAnsi="Times New Roman"/>
                <w:sz w:val="20"/>
                <w:szCs w:val="20"/>
              </w:rPr>
              <w:t>” LLC</w:t>
            </w:r>
          </w:p>
        </w:tc>
        <w:tc>
          <w:tcPr>
            <w:tcW w:w="1726" w:type="pct"/>
          </w:tcPr>
          <w:p w14:paraId="12277CD6"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13.9</w:t>
            </w:r>
          </w:p>
        </w:tc>
      </w:tr>
      <w:tr w:rsidR="00C94B87" w:rsidRPr="00366853" w14:paraId="3CB52033"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8" w:type="pct"/>
          </w:tcPr>
          <w:p w14:paraId="0D39CAF7" w14:textId="77777777" w:rsidR="00C94B87" w:rsidRPr="00366853" w:rsidRDefault="00C94B87" w:rsidP="00CE1543">
            <w:pPr>
              <w:jc w:val="center"/>
              <w:rPr>
                <w:rFonts w:ascii="Times New Roman" w:hAnsi="Times New Roman"/>
                <w:sz w:val="20"/>
                <w:szCs w:val="20"/>
              </w:rPr>
            </w:pPr>
            <w:r w:rsidRPr="00366853">
              <w:rPr>
                <w:rFonts w:ascii="Times New Roman" w:hAnsi="Times New Roman"/>
                <w:sz w:val="20"/>
                <w:szCs w:val="20"/>
              </w:rPr>
              <w:t>3</w:t>
            </w:r>
          </w:p>
        </w:tc>
        <w:tc>
          <w:tcPr>
            <w:tcW w:w="1926" w:type="pct"/>
          </w:tcPr>
          <w:p w14:paraId="7D2C1981" w14:textId="77777777" w:rsidR="00C94B87" w:rsidRPr="00366853" w:rsidRDefault="00C94B87" w:rsidP="00CE154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w:t>
            </w:r>
            <w:proofErr w:type="spellStart"/>
            <w:r w:rsidRPr="00366853">
              <w:rPr>
                <w:rFonts w:ascii="Times New Roman" w:hAnsi="Times New Roman"/>
                <w:sz w:val="20"/>
                <w:szCs w:val="20"/>
              </w:rPr>
              <w:t>Aliaska</w:t>
            </w:r>
            <w:proofErr w:type="spellEnd"/>
            <w:r w:rsidRPr="00366853">
              <w:rPr>
                <w:rFonts w:ascii="Times New Roman" w:hAnsi="Times New Roman"/>
                <w:sz w:val="20"/>
                <w:szCs w:val="20"/>
              </w:rPr>
              <w:t>” LLC</w:t>
            </w:r>
          </w:p>
        </w:tc>
        <w:tc>
          <w:tcPr>
            <w:tcW w:w="1726" w:type="pct"/>
          </w:tcPr>
          <w:p w14:paraId="1FDB5769"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4.3</w:t>
            </w:r>
          </w:p>
        </w:tc>
      </w:tr>
      <w:tr w:rsidR="00C94B87" w:rsidRPr="00366853" w14:paraId="07BA3DC8"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348" w:type="pct"/>
          </w:tcPr>
          <w:p w14:paraId="0BA12231" w14:textId="77777777" w:rsidR="00C94B87" w:rsidRPr="00366853" w:rsidRDefault="00C94B87" w:rsidP="00CE1543">
            <w:pPr>
              <w:jc w:val="center"/>
              <w:rPr>
                <w:rFonts w:ascii="Times New Roman" w:hAnsi="Times New Roman"/>
                <w:sz w:val="20"/>
                <w:szCs w:val="20"/>
              </w:rPr>
            </w:pPr>
            <w:r w:rsidRPr="00366853">
              <w:rPr>
                <w:rFonts w:ascii="Times New Roman" w:hAnsi="Times New Roman"/>
                <w:sz w:val="20"/>
                <w:szCs w:val="20"/>
              </w:rPr>
              <w:t>4</w:t>
            </w:r>
          </w:p>
        </w:tc>
        <w:tc>
          <w:tcPr>
            <w:tcW w:w="1926" w:type="pct"/>
          </w:tcPr>
          <w:p w14:paraId="3FA9673A" w14:textId="77777777" w:rsidR="00C94B87" w:rsidRPr="00366853" w:rsidRDefault="00C94B87" w:rsidP="00CE154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66853">
              <w:rPr>
                <w:rFonts w:ascii="Times New Roman" w:hAnsi="Times New Roman"/>
                <w:sz w:val="20"/>
                <w:szCs w:val="20"/>
              </w:rPr>
              <w:t>“</w:t>
            </w:r>
            <w:proofErr w:type="spellStart"/>
            <w:r>
              <w:rPr>
                <w:rFonts w:ascii="Times New Roman" w:hAnsi="Times New Roman"/>
                <w:sz w:val="20"/>
                <w:szCs w:val="20"/>
              </w:rPr>
              <w:t>Klimati</w:t>
            </w:r>
            <w:proofErr w:type="spellEnd"/>
            <w:r w:rsidRPr="00366853">
              <w:rPr>
                <w:rFonts w:ascii="Times New Roman" w:hAnsi="Times New Roman"/>
                <w:sz w:val="20"/>
                <w:szCs w:val="20"/>
              </w:rPr>
              <w:t>” LLC</w:t>
            </w:r>
          </w:p>
        </w:tc>
        <w:tc>
          <w:tcPr>
            <w:tcW w:w="1726" w:type="pct"/>
          </w:tcPr>
          <w:p w14:paraId="60E9E31A"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8.7</w:t>
            </w:r>
          </w:p>
        </w:tc>
      </w:tr>
    </w:tbl>
    <w:p w14:paraId="288C1DF4" w14:textId="77777777" w:rsidR="00C94B87" w:rsidRDefault="00C94B87" w:rsidP="00C94B87"/>
    <w:p w14:paraId="37D3BA0D" w14:textId="77777777" w:rsidR="00C94B87" w:rsidRDefault="00C94B87" w:rsidP="00C94B87"/>
    <w:p w14:paraId="0DE94585" w14:textId="77777777" w:rsidR="00C94B87" w:rsidRDefault="00C94B87" w:rsidP="00C94B87"/>
    <w:p w14:paraId="70903E8C" w14:textId="77777777" w:rsidR="00C94B87" w:rsidRPr="00C94B87" w:rsidRDefault="00C94B87" w:rsidP="00C94B87"/>
    <w:p w14:paraId="3C9EE620" w14:textId="77777777" w:rsidR="00366853" w:rsidRPr="00366853" w:rsidRDefault="00366853" w:rsidP="00366853">
      <w:pPr>
        <w:spacing w:before="160" w:after="160"/>
      </w:pPr>
      <w:r w:rsidRPr="00366853">
        <w:t>The sector application of HCFC-22 includes air-conditioning systems, commercial refrigeration, cold storage systems and transport refrigeration. There is no HCFC consumption in two sub-sectors: domestic refrigeration and mobile air-conditioning.</w:t>
      </w:r>
    </w:p>
    <w:p w14:paraId="36EF3A82" w14:textId="77777777" w:rsidR="00366853" w:rsidRPr="00366853" w:rsidRDefault="00366853" w:rsidP="00366853">
      <w:pPr>
        <w:spacing w:before="160" w:after="160"/>
      </w:pPr>
      <w:r w:rsidRPr="00366853">
        <w:t xml:space="preserve">The largest segment for the consumption of HCFCs is the air-conditioning sub-sector. In the retail sector of Georgia, handicraft refrigeration units assembled </w:t>
      </w:r>
      <w:proofErr w:type="gramStart"/>
      <w:r w:rsidRPr="00366853">
        <w:t>on the basis of</w:t>
      </w:r>
      <w:proofErr w:type="gramEnd"/>
      <w:r w:rsidRPr="00366853">
        <w:t xml:space="preserve"> self-contained air conditioning units manufactured far in the past in the former Soviet Union are very common. These devices are still readily available and cheap. Their installation also does not require large financial investments due to the simplicity of its design. The use of such installations, however, is unjustified today, since they are obsolete in terms of their design. The HCFC-22 leakage rate of such installations is very high, and the energy efficiency is low.</w:t>
      </w:r>
    </w:p>
    <w:p w14:paraId="12A461C0" w14:textId="77777777" w:rsidR="00366853" w:rsidRPr="00366853" w:rsidRDefault="00366853" w:rsidP="00366853">
      <w:pPr>
        <w:spacing w:before="160" w:after="160"/>
      </w:pPr>
      <w:r w:rsidRPr="00366853">
        <w:t>As for the factory-made air-conditioning equipment operating on HCFC22, most of them were imported in Georgia before 2010. They both are a source of refrigerant emissions into the atmosphere, firstly, due to their age and, secondly, due to the lack of proper maintenance by professional technicians that are scarce on the labour market.</w:t>
      </w:r>
    </w:p>
    <w:p w14:paraId="4746B208" w14:textId="77777777" w:rsidR="00366853" w:rsidRPr="008E6C50" w:rsidRDefault="00366853" w:rsidP="008E6C50">
      <w:pPr>
        <w:spacing w:before="160" w:after="160"/>
      </w:pPr>
      <w:r w:rsidRPr="00366853">
        <w:t xml:space="preserve">Before 2008 the commercial refrigeration sub-sector had been mainly represented by CFC equipment. The greater part of the equipment has been retrofitted or replaced from CFC-12 to HCFC-22 after the terminal phase-out of CFCs. </w:t>
      </w:r>
      <w:proofErr w:type="gramStart"/>
      <w:r w:rsidRPr="00366853">
        <w:t>A number of</w:t>
      </w:r>
      <w:proofErr w:type="gramEnd"/>
      <w:r w:rsidRPr="00366853">
        <w:t xml:space="preserve"> activities were implemented through assistance of MLF. For example, 12 companies transferred their installations from CFC-12 to alternative refrigerants in frame of the End-user incentive project in 2005. This project was recognized as exemplary by the Montreal Protocol and the implementing agencies: the Ministry of Environment Protection of Georgia and other national partners received letters of gratitude.</w:t>
      </w:r>
    </w:p>
    <w:p w14:paraId="7E28A7FB" w14:textId="77777777" w:rsidR="00366853" w:rsidRPr="00366853" w:rsidRDefault="00366853" w:rsidP="00366853">
      <w:pPr>
        <w:spacing w:before="160" w:after="160"/>
      </w:pPr>
      <w:r w:rsidRPr="00366853">
        <w:t xml:space="preserve">Replaced commercial refrigerators such as refrigerating rooms, refrigerated chambers, display-cases </w:t>
      </w:r>
      <w:proofErr w:type="gramStart"/>
      <w:r w:rsidRPr="00366853">
        <w:t>and etc.</w:t>
      </w:r>
      <w:proofErr w:type="gramEnd"/>
      <w:r w:rsidRPr="00366853">
        <w:t xml:space="preserve"> have been mainly equipped with HCFC-22 hermetic condensing units but now the leakage is quite high because of equipment being obsolete and due to its poor maintenance.  </w:t>
      </w:r>
    </w:p>
    <w:p w14:paraId="78C14888" w14:textId="77777777" w:rsidR="00366853" w:rsidRPr="00366853" w:rsidRDefault="00366853" w:rsidP="00366853">
      <w:pPr>
        <w:spacing w:before="160" w:after="160"/>
      </w:pPr>
      <w:r w:rsidRPr="00366853">
        <w:t xml:space="preserve">Thus, the success of reducing ODS emissions into the atmosphere depends on how quickly HCFC-containing equipment is replaced with new equipment based on zero- or low GWP refrigerants. </w:t>
      </w:r>
      <w:proofErr w:type="gramStart"/>
      <w:r w:rsidRPr="00366853">
        <w:t>It is clear that without</w:t>
      </w:r>
      <w:proofErr w:type="gramEnd"/>
      <w:r w:rsidRPr="00366853">
        <w:t xml:space="preserve"> implementation of effective, coordinated actions the losses of HCFC-22 from the Georgian RAC sector bank will grow in the future. In general, demand for the import of refrigerants is determined by the market, the market is guided by the needs of end users, and the end users purchase devices that are offered by importers/suppliers. Thus, there is a closed circle</w:t>
      </w:r>
      <w:r w:rsidRPr="00366853">
        <w:rPr>
          <w:sz w:val="24"/>
        </w:rPr>
        <w:t xml:space="preserve">, </w:t>
      </w:r>
      <w:r w:rsidRPr="00366853">
        <w:t xml:space="preserve">which should always be </w:t>
      </w:r>
      <w:proofErr w:type="gramStart"/>
      <w:r w:rsidRPr="00366853">
        <w:t>taken into account</w:t>
      </w:r>
      <w:proofErr w:type="gramEnd"/>
      <w:r w:rsidRPr="00366853">
        <w:t xml:space="preserve"> in order to avoid crisis situations both with the use and maintenance of HCFC equipment.</w:t>
      </w:r>
    </w:p>
    <w:p w14:paraId="2A088F74" w14:textId="77777777" w:rsidR="00366853" w:rsidRPr="00366853" w:rsidRDefault="00366853" w:rsidP="00366853">
      <w:pPr>
        <w:spacing w:after="120"/>
      </w:pPr>
      <w:r w:rsidRPr="00366853">
        <w:rPr>
          <w:b/>
          <w:bCs/>
          <w:u w:val="single"/>
        </w:rPr>
        <w:t>Sector distribution:</w:t>
      </w:r>
      <w:r w:rsidRPr="00366853">
        <w:rPr>
          <w:b/>
          <w:bCs/>
        </w:rPr>
        <w:t xml:space="preserve">  </w:t>
      </w:r>
      <w:r w:rsidRPr="00366853">
        <w:t>According to questionnaire survey carried out under tranche 3 of HPMP-I, there are five types of installations where HCFC-22 is still used in Georgia. These are domestic air conditioning, industrial air conditioning, retail refrigeration, food production and transport. There is no information about such a new installation imported in the country during last 5 years. Table 6 below shows the sector distribution of consumption of HCFC-22 and its alternatives.</w:t>
      </w:r>
    </w:p>
    <w:p w14:paraId="25742D55" w14:textId="47D31D97" w:rsidR="00366853" w:rsidRDefault="00366853" w:rsidP="00366853">
      <w:pPr>
        <w:pStyle w:val="Caption"/>
        <w:spacing w:before="120"/>
      </w:pPr>
      <w:r w:rsidRPr="00C94B87">
        <w:t>Table 6: Refrigerant consumption by the RAC sub-sectors in 2016-20</w:t>
      </w:r>
      <w:r w:rsidR="00C94B87" w:rsidRPr="00C94B87">
        <w:t>23</w:t>
      </w:r>
    </w:p>
    <w:tbl>
      <w:tblPr>
        <w:tblStyle w:val="GridTable4-Accent1"/>
        <w:tblW w:w="5000" w:type="pct"/>
        <w:tblLayout w:type="fixed"/>
        <w:tblLook w:val="01E0" w:firstRow="1" w:lastRow="1" w:firstColumn="1" w:lastColumn="1" w:noHBand="0" w:noVBand="0"/>
      </w:tblPr>
      <w:tblGrid>
        <w:gridCol w:w="2032"/>
        <w:gridCol w:w="2032"/>
        <w:gridCol w:w="2032"/>
        <w:gridCol w:w="2032"/>
        <w:gridCol w:w="2032"/>
      </w:tblGrid>
      <w:tr w:rsidR="00C94B87" w:rsidRPr="00366853" w14:paraId="66A10F0C" w14:textId="77777777" w:rsidTr="00CE154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vMerge w:val="restart"/>
          </w:tcPr>
          <w:p w14:paraId="67F6033E" w14:textId="77777777" w:rsidR="00C94B87" w:rsidRPr="00366853" w:rsidRDefault="00C94B87" w:rsidP="00CE1543">
            <w:pPr>
              <w:jc w:val="center"/>
              <w:rPr>
                <w:rFonts w:ascii="Times New Roman" w:hAnsi="Times New Roman"/>
                <w:bCs w:val="0"/>
                <w:sz w:val="18"/>
                <w:szCs w:val="18"/>
              </w:rPr>
            </w:pPr>
            <w:r w:rsidRPr="00366853">
              <w:rPr>
                <w:rFonts w:ascii="Times New Roman" w:hAnsi="Times New Roman"/>
                <w:sz w:val="18"/>
                <w:szCs w:val="18"/>
              </w:rPr>
              <w:t>N</w:t>
            </w:r>
          </w:p>
        </w:tc>
        <w:tc>
          <w:tcPr>
            <w:cnfStyle w:val="000010000000" w:firstRow="0" w:lastRow="0" w:firstColumn="0" w:lastColumn="0" w:oddVBand="1" w:evenVBand="0" w:oddHBand="0" w:evenHBand="0" w:firstRowFirstColumn="0" w:firstRowLastColumn="0" w:lastRowFirstColumn="0" w:lastRowLastColumn="0"/>
            <w:tcW w:w="1000" w:type="pct"/>
            <w:vMerge w:val="restart"/>
          </w:tcPr>
          <w:p w14:paraId="63E76060" w14:textId="77777777" w:rsidR="00C94B87" w:rsidRPr="00366853" w:rsidRDefault="00C94B87" w:rsidP="00CE1543">
            <w:pPr>
              <w:jc w:val="center"/>
              <w:rPr>
                <w:rFonts w:ascii="Times New Roman" w:hAnsi="Times New Roman"/>
                <w:bCs w:val="0"/>
                <w:sz w:val="18"/>
                <w:szCs w:val="18"/>
              </w:rPr>
            </w:pPr>
            <w:r w:rsidRPr="00366853">
              <w:rPr>
                <w:rFonts w:ascii="Times New Roman" w:hAnsi="Times New Roman"/>
                <w:sz w:val="18"/>
                <w:szCs w:val="18"/>
              </w:rPr>
              <w:t>Consumer</w:t>
            </w:r>
          </w:p>
        </w:tc>
        <w:tc>
          <w:tcPr>
            <w:cnfStyle w:val="000100000000" w:firstRow="0" w:lastRow="0" w:firstColumn="0" w:lastColumn="1" w:oddVBand="0" w:evenVBand="0" w:oddHBand="0" w:evenHBand="0" w:firstRowFirstColumn="0" w:firstRowLastColumn="0" w:lastRowFirstColumn="0" w:lastRowLastColumn="0"/>
            <w:tcW w:w="3000" w:type="pct"/>
            <w:gridSpan w:val="3"/>
          </w:tcPr>
          <w:p w14:paraId="3E693EF5" w14:textId="77777777" w:rsidR="00C94B87" w:rsidRPr="00366853" w:rsidRDefault="00C94B87" w:rsidP="00CE1543">
            <w:pPr>
              <w:jc w:val="center"/>
              <w:rPr>
                <w:rFonts w:ascii="Times New Roman" w:hAnsi="Times New Roman"/>
                <w:bCs w:val="0"/>
                <w:sz w:val="18"/>
                <w:szCs w:val="18"/>
              </w:rPr>
            </w:pPr>
            <w:r w:rsidRPr="00366853">
              <w:rPr>
                <w:rFonts w:ascii="Times New Roman" w:hAnsi="Times New Roman"/>
                <w:sz w:val="18"/>
                <w:szCs w:val="18"/>
              </w:rPr>
              <w:t>Quantity of refrigerants in MT</w:t>
            </w:r>
          </w:p>
        </w:tc>
      </w:tr>
      <w:tr w:rsidR="00C94B87" w:rsidRPr="00366853" w14:paraId="11E7B347"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vMerge/>
          </w:tcPr>
          <w:p w14:paraId="4BCB3B97" w14:textId="77777777" w:rsidR="00C94B87" w:rsidRPr="00366853" w:rsidRDefault="00C94B87" w:rsidP="00CE1543">
            <w:pPr>
              <w:jc w:val="center"/>
              <w:rPr>
                <w:rFonts w:ascii="Times New Roman" w:hAnsi="Times New Roman"/>
                <w:bCs w:val="0"/>
                <w:sz w:val="18"/>
                <w:szCs w:val="18"/>
              </w:rPr>
            </w:pPr>
          </w:p>
        </w:tc>
        <w:tc>
          <w:tcPr>
            <w:cnfStyle w:val="000010000000" w:firstRow="0" w:lastRow="0" w:firstColumn="0" w:lastColumn="0" w:oddVBand="1" w:evenVBand="0" w:oddHBand="0" w:evenHBand="0" w:firstRowFirstColumn="0" w:firstRowLastColumn="0" w:lastRowFirstColumn="0" w:lastRowLastColumn="0"/>
            <w:tcW w:w="1000" w:type="pct"/>
            <w:vMerge/>
          </w:tcPr>
          <w:p w14:paraId="4EB9EFD7" w14:textId="77777777" w:rsidR="00C94B87" w:rsidRPr="00366853" w:rsidRDefault="00C94B87" w:rsidP="00CE1543">
            <w:pPr>
              <w:jc w:val="center"/>
              <w:rPr>
                <w:rFonts w:ascii="Times New Roman" w:hAnsi="Times New Roman"/>
                <w:bCs/>
                <w:sz w:val="18"/>
                <w:szCs w:val="18"/>
              </w:rPr>
            </w:pPr>
          </w:p>
        </w:tc>
        <w:tc>
          <w:tcPr>
            <w:tcW w:w="1000" w:type="pct"/>
            <w:shd w:val="clear" w:color="auto" w:fill="4F81BD" w:themeFill="accent1"/>
          </w:tcPr>
          <w:p w14:paraId="4E32D8BB"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18"/>
                <w:szCs w:val="18"/>
              </w:rPr>
            </w:pPr>
            <w:r w:rsidRPr="00366853">
              <w:rPr>
                <w:rFonts w:ascii="Times New Roman" w:hAnsi="Times New Roman"/>
                <w:b/>
                <w:color w:val="FFFFFF" w:themeColor="background1"/>
                <w:sz w:val="18"/>
                <w:szCs w:val="18"/>
              </w:rPr>
              <w:t>HCFC 22</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4F81BD" w:themeFill="accent1"/>
          </w:tcPr>
          <w:p w14:paraId="0FB15EAB" w14:textId="77777777" w:rsidR="00C94B87" w:rsidRPr="00366853" w:rsidRDefault="00C94B87" w:rsidP="00CE1543">
            <w:pPr>
              <w:jc w:val="center"/>
              <w:rPr>
                <w:rFonts w:ascii="Times New Roman" w:hAnsi="Times New Roman"/>
                <w:b/>
                <w:color w:val="FFFFFF" w:themeColor="background1"/>
                <w:sz w:val="18"/>
                <w:szCs w:val="18"/>
              </w:rPr>
            </w:pPr>
            <w:r w:rsidRPr="00366853">
              <w:rPr>
                <w:rFonts w:ascii="Times New Roman" w:hAnsi="Times New Roman"/>
                <w:b/>
                <w:color w:val="FFFFFF" w:themeColor="background1"/>
                <w:sz w:val="18"/>
                <w:szCs w:val="18"/>
              </w:rPr>
              <w:t>HFC 134a</w:t>
            </w:r>
          </w:p>
        </w:tc>
        <w:tc>
          <w:tcPr>
            <w:cnfStyle w:val="000100000000" w:firstRow="0" w:lastRow="0" w:firstColumn="0" w:lastColumn="1" w:oddVBand="0" w:evenVBand="0" w:oddHBand="0" w:evenHBand="0" w:firstRowFirstColumn="0" w:firstRowLastColumn="0" w:lastRowFirstColumn="0" w:lastRowLastColumn="0"/>
            <w:tcW w:w="1000" w:type="pct"/>
            <w:shd w:val="clear" w:color="auto" w:fill="4F81BD" w:themeFill="accent1"/>
          </w:tcPr>
          <w:p w14:paraId="22898CB5" w14:textId="77777777" w:rsidR="00C94B87" w:rsidRPr="00366853" w:rsidRDefault="00C94B87" w:rsidP="00CE1543">
            <w:pPr>
              <w:jc w:val="center"/>
              <w:rPr>
                <w:rFonts w:ascii="Times New Roman" w:hAnsi="Times New Roman"/>
                <w:bCs w:val="0"/>
                <w:color w:val="FFFFFF" w:themeColor="background1"/>
                <w:sz w:val="18"/>
                <w:szCs w:val="18"/>
              </w:rPr>
            </w:pPr>
            <w:r w:rsidRPr="00366853">
              <w:rPr>
                <w:rFonts w:ascii="Times New Roman" w:hAnsi="Times New Roman"/>
                <w:color w:val="FFFFFF" w:themeColor="background1"/>
                <w:sz w:val="18"/>
                <w:szCs w:val="18"/>
              </w:rPr>
              <w:t>HFC blend*</w:t>
            </w:r>
          </w:p>
        </w:tc>
      </w:tr>
      <w:tr w:rsidR="00C94B87" w:rsidRPr="00366853" w14:paraId="17FB074C"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tcPr>
          <w:p w14:paraId="00D57520"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2016</w:t>
            </w:r>
          </w:p>
        </w:tc>
      </w:tr>
      <w:tr w:rsidR="00C94B87" w:rsidRPr="00366853" w14:paraId="230327CF"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1453AAB5"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1000" w:type="pct"/>
          </w:tcPr>
          <w:p w14:paraId="68C8944A"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Service companies</w:t>
            </w:r>
          </w:p>
        </w:tc>
        <w:tc>
          <w:tcPr>
            <w:tcW w:w="1000" w:type="pct"/>
          </w:tcPr>
          <w:p w14:paraId="71EDDBB8"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9.7</w:t>
            </w:r>
          </w:p>
        </w:tc>
        <w:tc>
          <w:tcPr>
            <w:cnfStyle w:val="000010000000" w:firstRow="0" w:lastRow="0" w:firstColumn="0" w:lastColumn="0" w:oddVBand="1" w:evenVBand="0" w:oddHBand="0" w:evenHBand="0" w:firstRowFirstColumn="0" w:firstRowLastColumn="0" w:lastRowFirstColumn="0" w:lastRowLastColumn="0"/>
            <w:tcW w:w="1000" w:type="pct"/>
          </w:tcPr>
          <w:p w14:paraId="4D131B87"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47.5</w:t>
            </w:r>
          </w:p>
        </w:tc>
        <w:tc>
          <w:tcPr>
            <w:cnfStyle w:val="000100000000" w:firstRow="0" w:lastRow="0" w:firstColumn="0" w:lastColumn="1" w:oddVBand="0" w:evenVBand="0" w:oddHBand="0" w:evenHBand="0" w:firstRowFirstColumn="0" w:firstRowLastColumn="0" w:lastRowFirstColumn="0" w:lastRowLastColumn="0"/>
            <w:tcW w:w="1000" w:type="pct"/>
          </w:tcPr>
          <w:p w14:paraId="7113E34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30.8</w:t>
            </w:r>
          </w:p>
        </w:tc>
      </w:tr>
      <w:tr w:rsidR="00C94B87" w:rsidRPr="00366853" w14:paraId="1F33BB60"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4B1B045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1000" w:type="pct"/>
          </w:tcPr>
          <w:p w14:paraId="66827D22"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Individual technicians</w:t>
            </w:r>
          </w:p>
        </w:tc>
        <w:tc>
          <w:tcPr>
            <w:tcW w:w="1000" w:type="pct"/>
          </w:tcPr>
          <w:p w14:paraId="37076109"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5.4</w:t>
            </w:r>
          </w:p>
        </w:tc>
        <w:tc>
          <w:tcPr>
            <w:cnfStyle w:val="000010000000" w:firstRow="0" w:lastRow="0" w:firstColumn="0" w:lastColumn="0" w:oddVBand="1" w:evenVBand="0" w:oddHBand="0" w:evenHBand="0" w:firstRowFirstColumn="0" w:firstRowLastColumn="0" w:lastRowFirstColumn="0" w:lastRowLastColumn="0"/>
            <w:tcW w:w="1000" w:type="pct"/>
          </w:tcPr>
          <w:p w14:paraId="31226E63"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22.86</w:t>
            </w:r>
          </w:p>
        </w:tc>
        <w:tc>
          <w:tcPr>
            <w:cnfStyle w:val="000100000000" w:firstRow="0" w:lastRow="0" w:firstColumn="0" w:lastColumn="1" w:oddVBand="0" w:evenVBand="0" w:oddHBand="0" w:evenHBand="0" w:firstRowFirstColumn="0" w:firstRowLastColumn="0" w:lastRowFirstColumn="0" w:lastRowLastColumn="0"/>
            <w:tcW w:w="1000" w:type="pct"/>
          </w:tcPr>
          <w:p w14:paraId="10F196D2"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17.5</w:t>
            </w:r>
          </w:p>
        </w:tc>
      </w:tr>
      <w:tr w:rsidR="00C94B87" w:rsidRPr="00366853" w14:paraId="10B40081"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1EA8177C"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1000" w:type="pct"/>
          </w:tcPr>
          <w:p w14:paraId="3199C012"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Wine producers</w:t>
            </w:r>
          </w:p>
        </w:tc>
        <w:tc>
          <w:tcPr>
            <w:tcW w:w="1000" w:type="pct"/>
          </w:tcPr>
          <w:p w14:paraId="726A4C13"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1.7</w:t>
            </w:r>
          </w:p>
        </w:tc>
        <w:tc>
          <w:tcPr>
            <w:cnfStyle w:val="000010000000" w:firstRow="0" w:lastRow="0" w:firstColumn="0" w:lastColumn="0" w:oddVBand="1" w:evenVBand="0" w:oddHBand="0" w:evenHBand="0" w:firstRowFirstColumn="0" w:firstRowLastColumn="0" w:lastRowFirstColumn="0" w:lastRowLastColumn="0"/>
            <w:tcW w:w="1000" w:type="pct"/>
          </w:tcPr>
          <w:p w14:paraId="72F5776D"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1.13</w:t>
            </w:r>
          </w:p>
        </w:tc>
        <w:tc>
          <w:tcPr>
            <w:cnfStyle w:val="000100000000" w:firstRow="0" w:lastRow="0" w:firstColumn="0" w:lastColumn="1" w:oddVBand="0" w:evenVBand="0" w:oddHBand="0" w:evenHBand="0" w:firstRowFirstColumn="0" w:firstRowLastColumn="0" w:lastRowFirstColumn="0" w:lastRowLastColumn="0"/>
            <w:tcW w:w="1000" w:type="pct"/>
          </w:tcPr>
          <w:p w14:paraId="4DF37A9F"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4.1</w:t>
            </w:r>
          </w:p>
        </w:tc>
      </w:tr>
      <w:tr w:rsidR="00C94B87" w:rsidRPr="00366853" w14:paraId="550F2023"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64840710"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1000" w:type="pct"/>
          </w:tcPr>
          <w:p w14:paraId="380FE57A"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Soft drink producers</w:t>
            </w:r>
          </w:p>
        </w:tc>
        <w:tc>
          <w:tcPr>
            <w:tcW w:w="1000" w:type="pct"/>
          </w:tcPr>
          <w:p w14:paraId="54E34C0A"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2.2</w:t>
            </w:r>
          </w:p>
        </w:tc>
        <w:tc>
          <w:tcPr>
            <w:cnfStyle w:val="000010000000" w:firstRow="0" w:lastRow="0" w:firstColumn="0" w:lastColumn="0" w:oddVBand="1" w:evenVBand="0" w:oddHBand="0" w:evenHBand="0" w:firstRowFirstColumn="0" w:firstRowLastColumn="0" w:lastRowFirstColumn="0" w:lastRowLastColumn="0"/>
            <w:tcW w:w="1000" w:type="pct"/>
          </w:tcPr>
          <w:p w14:paraId="2EE909DB"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2.21</w:t>
            </w:r>
          </w:p>
        </w:tc>
        <w:tc>
          <w:tcPr>
            <w:cnfStyle w:val="000100000000" w:firstRow="0" w:lastRow="0" w:firstColumn="0" w:lastColumn="1" w:oddVBand="0" w:evenVBand="0" w:oddHBand="0" w:evenHBand="0" w:firstRowFirstColumn="0" w:firstRowLastColumn="0" w:lastRowFirstColumn="0" w:lastRowLastColumn="0"/>
            <w:tcW w:w="1000" w:type="pct"/>
          </w:tcPr>
          <w:p w14:paraId="3D2BD174"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3.1</w:t>
            </w:r>
          </w:p>
        </w:tc>
      </w:tr>
      <w:tr w:rsidR="00C94B87" w:rsidRPr="00366853" w14:paraId="3AFD3A50"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4050C61E"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6</w:t>
            </w:r>
          </w:p>
        </w:tc>
        <w:tc>
          <w:tcPr>
            <w:cnfStyle w:val="000010000000" w:firstRow="0" w:lastRow="0" w:firstColumn="0" w:lastColumn="0" w:oddVBand="1" w:evenVBand="0" w:oddHBand="0" w:evenHBand="0" w:firstRowFirstColumn="0" w:firstRowLastColumn="0" w:lastRowFirstColumn="0" w:lastRowLastColumn="0"/>
            <w:tcW w:w="1000" w:type="pct"/>
          </w:tcPr>
          <w:p w14:paraId="75CD39D9"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Public establishments (Museums, Libraries, Concert halls etc.)</w:t>
            </w:r>
          </w:p>
        </w:tc>
        <w:tc>
          <w:tcPr>
            <w:tcW w:w="1000" w:type="pct"/>
          </w:tcPr>
          <w:p w14:paraId="5D312893"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6.7</w:t>
            </w:r>
          </w:p>
        </w:tc>
        <w:tc>
          <w:tcPr>
            <w:cnfStyle w:val="000010000000" w:firstRow="0" w:lastRow="0" w:firstColumn="0" w:lastColumn="0" w:oddVBand="1" w:evenVBand="0" w:oddHBand="0" w:evenHBand="0" w:firstRowFirstColumn="0" w:firstRowLastColumn="0" w:lastRowFirstColumn="0" w:lastRowLastColumn="0"/>
            <w:tcW w:w="1000" w:type="pct"/>
          </w:tcPr>
          <w:p w14:paraId="41EE7B39"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8.5</w:t>
            </w:r>
          </w:p>
        </w:tc>
        <w:tc>
          <w:tcPr>
            <w:cnfStyle w:val="000100000000" w:firstRow="0" w:lastRow="0" w:firstColumn="0" w:lastColumn="1" w:oddVBand="0" w:evenVBand="0" w:oddHBand="0" w:evenHBand="0" w:firstRowFirstColumn="0" w:firstRowLastColumn="0" w:lastRowFirstColumn="0" w:lastRowLastColumn="0"/>
            <w:tcW w:w="1000" w:type="pct"/>
          </w:tcPr>
          <w:p w14:paraId="74FA2227"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7.2</w:t>
            </w:r>
          </w:p>
        </w:tc>
      </w:tr>
      <w:tr w:rsidR="00C94B87" w:rsidRPr="00366853" w14:paraId="45D2F6CD"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FFC000"/>
          </w:tcPr>
          <w:p w14:paraId="1FB2EA8D" w14:textId="77777777" w:rsidR="00C94B87" w:rsidRPr="00366853" w:rsidRDefault="00C94B87" w:rsidP="00CE1543">
            <w:pPr>
              <w:jc w:val="center"/>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2DDCF4BF" w14:textId="77777777" w:rsidR="00C94B87" w:rsidRPr="00366853" w:rsidRDefault="00C94B87" w:rsidP="00CE1543">
            <w:pPr>
              <w:jc w:val="right"/>
              <w:rPr>
                <w:rFonts w:ascii="Times New Roman" w:hAnsi="Times New Roman"/>
                <w:b/>
                <w:bCs/>
                <w:sz w:val="18"/>
                <w:szCs w:val="18"/>
              </w:rPr>
            </w:pPr>
            <w:r w:rsidRPr="00366853">
              <w:rPr>
                <w:rFonts w:ascii="Times New Roman" w:hAnsi="Times New Roman"/>
                <w:b/>
                <w:bCs/>
                <w:sz w:val="18"/>
                <w:szCs w:val="18"/>
              </w:rPr>
              <w:t>Total in 2016</w:t>
            </w:r>
          </w:p>
        </w:tc>
        <w:tc>
          <w:tcPr>
            <w:tcW w:w="1000" w:type="pct"/>
            <w:shd w:val="clear" w:color="auto" w:fill="FFC000"/>
          </w:tcPr>
          <w:p w14:paraId="10A60ED8"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366853">
              <w:rPr>
                <w:rFonts w:ascii="Times New Roman" w:hAnsi="Times New Roman"/>
                <w:b/>
                <w:bCs/>
                <w:sz w:val="18"/>
                <w:szCs w:val="18"/>
              </w:rPr>
              <w:t>25.7</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4D942492" w14:textId="77777777" w:rsidR="00C94B87" w:rsidRPr="00366853" w:rsidRDefault="00C94B87" w:rsidP="00CE1543">
            <w:pPr>
              <w:jc w:val="center"/>
              <w:rPr>
                <w:rFonts w:ascii="Times New Roman" w:hAnsi="Times New Roman"/>
                <w:b/>
                <w:bCs/>
                <w:sz w:val="18"/>
                <w:szCs w:val="18"/>
              </w:rPr>
            </w:pPr>
            <w:r w:rsidRPr="00366853">
              <w:rPr>
                <w:rFonts w:ascii="Times New Roman" w:hAnsi="Times New Roman"/>
                <w:b/>
                <w:bCs/>
                <w:sz w:val="18"/>
                <w:szCs w:val="18"/>
              </w:rPr>
              <w:t>82.2</w:t>
            </w:r>
          </w:p>
        </w:tc>
        <w:tc>
          <w:tcPr>
            <w:cnfStyle w:val="000100000000" w:firstRow="0" w:lastRow="0" w:firstColumn="0" w:lastColumn="1" w:oddVBand="0" w:evenVBand="0" w:oddHBand="0" w:evenHBand="0" w:firstRowFirstColumn="0" w:firstRowLastColumn="0" w:lastRowFirstColumn="0" w:lastRowLastColumn="0"/>
            <w:tcW w:w="1000" w:type="pct"/>
            <w:shd w:val="clear" w:color="auto" w:fill="FFC000"/>
          </w:tcPr>
          <w:p w14:paraId="474BE66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62.7</w:t>
            </w:r>
          </w:p>
        </w:tc>
      </w:tr>
      <w:tr w:rsidR="00C94B87" w:rsidRPr="00366853" w14:paraId="0F556DAB"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tcPr>
          <w:p w14:paraId="4952FA34"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2017</w:t>
            </w:r>
          </w:p>
        </w:tc>
      </w:tr>
      <w:tr w:rsidR="00C94B87" w:rsidRPr="00366853" w14:paraId="22017D90"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5B5CE541"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1000" w:type="pct"/>
          </w:tcPr>
          <w:p w14:paraId="15D3C7EE"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Service companies</w:t>
            </w:r>
          </w:p>
        </w:tc>
        <w:tc>
          <w:tcPr>
            <w:tcW w:w="1000" w:type="pct"/>
          </w:tcPr>
          <w:p w14:paraId="78A9BCB7"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14.5</w:t>
            </w:r>
          </w:p>
        </w:tc>
        <w:tc>
          <w:tcPr>
            <w:cnfStyle w:val="000010000000" w:firstRow="0" w:lastRow="0" w:firstColumn="0" w:lastColumn="0" w:oddVBand="1" w:evenVBand="0" w:oddHBand="0" w:evenHBand="0" w:firstRowFirstColumn="0" w:firstRowLastColumn="0" w:lastRowFirstColumn="0" w:lastRowLastColumn="0"/>
            <w:tcW w:w="1000" w:type="pct"/>
          </w:tcPr>
          <w:p w14:paraId="22B9AEB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45.3</w:t>
            </w:r>
          </w:p>
        </w:tc>
        <w:tc>
          <w:tcPr>
            <w:cnfStyle w:val="000100000000" w:firstRow="0" w:lastRow="0" w:firstColumn="0" w:lastColumn="1" w:oddVBand="0" w:evenVBand="0" w:oddHBand="0" w:evenHBand="0" w:firstRowFirstColumn="0" w:firstRowLastColumn="0" w:lastRowFirstColumn="0" w:lastRowLastColumn="0"/>
            <w:tcW w:w="1000" w:type="pct"/>
          </w:tcPr>
          <w:p w14:paraId="48709499"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38.3</w:t>
            </w:r>
          </w:p>
        </w:tc>
      </w:tr>
      <w:tr w:rsidR="00C94B87" w:rsidRPr="00366853" w14:paraId="4C5E894B"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2E3AB7D5"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1000" w:type="pct"/>
          </w:tcPr>
          <w:p w14:paraId="1DAB3AE7"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Individual technicians</w:t>
            </w:r>
          </w:p>
        </w:tc>
        <w:tc>
          <w:tcPr>
            <w:tcW w:w="1000" w:type="pct"/>
          </w:tcPr>
          <w:p w14:paraId="4CFF5F32"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9.8</w:t>
            </w:r>
          </w:p>
        </w:tc>
        <w:tc>
          <w:tcPr>
            <w:cnfStyle w:val="000010000000" w:firstRow="0" w:lastRow="0" w:firstColumn="0" w:lastColumn="0" w:oddVBand="1" w:evenVBand="0" w:oddHBand="0" w:evenHBand="0" w:firstRowFirstColumn="0" w:firstRowLastColumn="0" w:lastRowFirstColumn="0" w:lastRowLastColumn="0"/>
            <w:tcW w:w="1000" w:type="pct"/>
          </w:tcPr>
          <w:p w14:paraId="7BF3F29A"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25.4</w:t>
            </w:r>
          </w:p>
        </w:tc>
        <w:tc>
          <w:tcPr>
            <w:cnfStyle w:val="000100000000" w:firstRow="0" w:lastRow="0" w:firstColumn="0" w:lastColumn="1" w:oddVBand="0" w:evenVBand="0" w:oddHBand="0" w:evenHBand="0" w:firstRowFirstColumn="0" w:firstRowLastColumn="0" w:lastRowFirstColumn="0" w:lastRowLastColumn="0"/>
            <w:tcW w:w="1000" w:type="pct"/>
          </w:tcPr>
          <w:p w14:paraId="58AEFE4C"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22.6</w:t>
            </w:r>
          </w:p>
        </w:tc>
      </w:tr>
      <w:tr w:rsidR="00C94B87" w:rsidRPr="00366853" w14:paraId="3779AE75"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61C5DA5C"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1000" w:type="pct"/>
          </w:tcPr>
          <w:p w14:paraId="7E56ECA3"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Wine producers</w:t>
            </w:r>
          </w:p>
        </w:tc>
        <w:tc>
          <w:tcPr>
            <w:tcW w:w="1000" w:type="pct"/>
          </w:tcPr>
          <w:p w14:paraId="67C114A9"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0.5</w:t>
            </w:r>
          </w:p>
        </w:tc>
        <w:tc>
          <w:tcPr>
            <w:cnfStyle w:val="000010000000" w:firstRow="0" w:lastRow="0" w:firstColumn="0" w:lastColumn="0" w:oddVBand="1" w:evenVBand="0" w:oddHBand="0" w:evenHBand="0" w:firstRowFirstColumn="0" w:firstRowLastColumn="0" w:lastRowFirstColumn="0" w:lastRowLastColumn="0"/>
            <w:tcW w:w="1000" w:type="pct"/>
          </w:tcPr>
          <w:p w14:paraId="75428383"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1.5</w:t>
            </w:r>
          </w:p>
        </w:tc>
        <w:tc>
          <w:tcPr>
            <w:cnfStyle w:val="000100000000" w:firstRow="0" w:lastRow="0" w:firstColumn="0" w:lastColumn="1" w:oddVBand="0" w:evenVBand="0" w:oddHBand="0" w:evenHBand="0" w:firstRowFirstColumn="0" w:firstRowLastColumn="0" w:lastRowFirstColumn="0" w:lastRowLastColumn="0"/>
            <w:tcW w:w="1000" w:type="pct"/>
          </w:tcPr>
          <w:p w14:paraId="13BC3CEB"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4.0</w:t>
            </w:r>
          </w:p>
        </w:tc>
      </w:tr>
      <w:tr w:rsidR="00C94B87" w:rsidRPr="00366853" w14:paraId="0CF20203"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522682FD"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1000" w:type="pct"/>
          </w:tcPr>
          <w:p w14:paraId="2A7BFE80"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Soft drink producers</w:t>
            </w:r>
          </w:p>
        </w:tc>
        <w:tc>
          <w:tcPr>
            <w:tcW w:w="1000" w:type="pct"/>
          </w:tcPr>
          <w:p w14:paraId="71DF3F20"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3.1</w:t>
            </w:r>
          </w:p>
        </w:tc>
        <w:tc>
          <w:tcPr>
            <w:cnfStyle w:val="000010000000" w:firstRow="0" w:lastRow="0" w:firstColumn="0" w:lastColumn="0" w:oddVBand="1" w:evenVBand="0" w:oddHBand="0" w:evenHBand="0" w:firstRowFirstColumn="0" w:firstRowLastColumn="0" w:lastRowFirstColumn="0" w:lastRowLastColumn="0"/>
            <w:tcW w:w="1000" w:type="pct"/>
          </w:tcPr>
          <w:p w14:paraId="1C85AB8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4.8</w:t>
            </w:r>
          </w:p>
        </w:tc>
        <w:tc>
          <w:tcPr>
            <w:cnfStyle w:val="000100000000" w:firstRow="0" w:lastRow="0" w:firstColumn="0" w:lastColumn="1" w:oddVBand="0" w:evenVBand="0" w:oddHBand="0" w:evenHBand="0" w:firstRowFirstColumn="0" w:firstRowLastColumn="0" w:lastRowFirstColumn="0" w:lastRowLastColumn="0"/>
            <w:tcW w:w="1000" w:type="pct"/>
          </w:tcPr>
          <w:p w14:paraId="4F125274"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3.5</w:t>
            </w:r>
          </w:p>
        </w:tc>
      </w:tr>
      <w:tr w:rsidR="00C94B87" w:rsidRPr="00366853" w14:paraId="386CC5A6"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3B43E6B6"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6</w:t>
            </w:r>
          </w:p>
        </w:tc>
        <w:tc>
          <w:tcPr>
            <w:cnfStyle w:val="000010000000" w:firstRow="0" w:lastRow="0" w:firstColumn="0" w:lastColumn="0" w:oddVBand="1" w:evenVBand="0" w:oddHBand="0" w:evenHBand="0" w:firstRowFirstColumn="0" w:firstRowLastColumn="0" w:lastRowFirstColumn="0" w:lastRowLastColumn="0"/>
            <w:tcW w:w="1000" w:type="pct"/>
          </w:tcPr>
          <w:p w14:paraId="36F6A1BE"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Public establishments (Museums, Libraries, Concert halls etc.)</w:t>
            </w:r>
          </w:p>
        </w:tc>
        <w:tc>
          <w:tcPr>
            <w:tcW w:w="1000" w:type="pct"/>
          </w:tcPr>
          <w:p w14:paraId="2EA7D6C2"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10.3</w:t>
            </w:r>
          </w:p>
        </w:tc>
        <w:tc>
          <w:tcPr>
            <w:cnfStyle w:val="000010000000" w:firstRow="0" w:lastRow="0" w:firstColumn="0" w:lastColumn="0" w:oddVBand="1" w:evenVBand="0" w:oddHBand="0" w:evenHBand="0" w:firstRowFirstColumn="0" w:firstRowLastColumn="0" w:lastRowFirstColumn="0" w:lastRowLastColumn="0"/>
            <w:tcW w:w="1000" w:type="pct"/>
          </w:tcPr>
          <w:p w14:paraId="77E6970E"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8.0</w:t>
            </w:r>
          </w:p>
        </w:tc>
        <w:tc>
          <w:tcPr>
            <w:cnfStyle w:val="000100000000" w:firstRow="0" w:lastRow="0" w:firstColumn="0" w:lastColumn="1" w:oddVBand="0" w:evenVBand="0" w:oddHBand="0" w:evenHBand="0" w:firstRowFirstColumn="0" w:firstRowLastColumn="0" w:lastRowFirstColumn="0" w:lastRowLastColumn="0"/>
            <w:tcW w:w="1000" w:type="pct"/>
          </w:tcPr>
          <w:p w14:paraId="643DF855"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10.1</w:t>
            </w:r>
          </w:p>
        </w:tc>
      </w:tr>
      <w:tr w:rsidR="00C94B87" w:rsidRPr="00366853" w14:paraId="00CE275A"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FFC000"/>
          </w:tcPr>
          <w:p w14:paraId="3FE732F1" w14:textId="77777777" w:rsidR="00C94B87" w:rsidRPr="00366853" w:rsidRDefault="00C94B87" w:rsidP="00CE1543">
            <w:pPr>
              <w:jc w:val="center"/>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239A25E3" w14:textId="77777777" w:rsidR="00C94B87" w:rsidRPr="00366853" w:rsidRDefault="00C94B87" w:rsidP="00CE1543">
            <w:pPr>
              <w:jc w:val="right"/>
              <w:rPr>
                <w:rFonts w:ascii="Times New Roman" w:hAnsi="Times New Roman"/>
                <w:b/>
                <w:bCs/>
                <w:sz w:val="18"/>
                <w:szCs w:val="18"/>
              </w:rPr>
            </w:pPr>
            <w:r w:rsidRPr="00366853">
              <w:rPr>
                <w:rFonts w:ascii="Times New Roman" w:hAnsi="Times New Roman"/>
                <w:b/>
                <w:bCs/>
                <w:sz w:val="18"/>
                <w:szCs w:val="18"/>
              </w:rPr>
              <w:t>Total in 2017</w:t>
            </w:r>
          </w:p>
        </w:tc>
        <w:tc>
          <w:tcPr>
            <w:tcW w:w="1000" w:type="pct"/>
            <w:shd w:val="clear" w:color="auto" w:fill="FFC000"/>
          </w:tcPr>
          <w:p w14:paraId="6BAC433D"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366853">
              <w:rPr>
                <w:rFonts w:ascii="Times New Roman" w:hAnsi="Times New Roman"/>
                <w:b/>
                <w:bCs/>
                <w:sz w:val="18"/>
                <w:szCs w:val="18"/>
              </w:rPr>
              <w:t>38.20</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4A9C69D4" w14:textId="77777777" w:rsidR="00C94B87" w:rsidRPr="00366853" w:rsidRDefault="00C94B87" w:rsidP="00CE1543">
            <w:pPr>
              <w:jc w:val="center"/>
              <w:rPr>
                <w:rFonts w:ascii="Times New Roman" w:hAnsi="Times New Roman"/>
                <w:b/>
                <w:bCs/>
                <w:sz w:val="18"/>
                <w:szCs w:val="18"/>
              </w:rPr>
            </w:pPr>
            <w:r w:rsidRPr="00366853">
              <w:rPr>
                <w:rFonts w:ascii="Times New Roman" w:hAnsi="Times New Roman"/>
                <w:b/>
                <w:bCs/>
                <w:sz w:val="18"/>
                <w:szCs w:val="18"/>
              </w:rPr>
              <w:t>85.00</w:t>
            </w:r>
          </w:p>
        </w:tc>
        <w:tc>
          <w:tcPr>
            <w:cnfStyle w:val="000100000000" w:firstRow="0" w:lastRow="0" w:firstColumn="0" w:lastColumn="1" w:oddVBand="0" w:evenVBand="0" w:oddHBand="0" w:evenHBand="0" w:firstRowFirstColumn="0" w:firstRowLastColumn="0" w:lastRowFirstColumn="0" w:lastRowLastColumn="0"/>
            <w:tcW w:w="1000" w:type="pct"/>
            <w:shd w:val="clear" w:color="auto" w:fill="FFC000"/>
          </w:tcPr>
          <w:p w14:paraId="6D94CECB" w14:textId="77777777" w:rsidR="00C94B87" w:rsidRPr="00366853" w:rsidRDefault="00C94B87" w:rsidP="00CE1543">
            <w:pPr>
              <w:jc w:val="center"/>
              <w:rPr>
                <w:rFonts w:ascii="Times New Roman" w:hAnsi="Times New Roman"/>
                <w:sz w:val="18"/>
                <w:szCs w:val="18"/>
              </w:rPr>
            </w:pPr>
            <w:r w:rsidRPr="00366853">
              <w:rPr>
                <w:rFonts w:ascii="Times New Roman" w:hAnsi="Times New Roman"/>
                <w:color w:val="000000"/>
                <w:sz w:val="18"/>
                <w:szCs w:val="18"/>
              </w:rPr>
              <w:t>78.50</w:t>
            </w:r>
          </w:p>
        </w:tc>
      </w:tr>
      <w:tr w:rsidR="00C94B87" w:rsidRPr="00366853" w14:paraId="461EE47C"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tcPr>
          <w:p w14:paraId="7FC866DB"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2018</w:t>
            </w:r>
          </w:p>
        </w:tc>
      </w:tr>
      <w:tr w:rsidR="00C94B87" w:rsidRPr="00366853" w14:paraId="1693DB9D"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2A3030E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1000" w:type="pct"/>
          </w:tcPr>
          <w:p w14:paraId="15D0EF2E"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Service companies</w:t>
            </w:r>
          </w:p>
        </w:tc>
        <w:tc>
          <w:tcPr>
            <w:tcW w:w="1000" w:type="pct"/>
          </w:tcPr>
          <w:p w14:paraId="0B746259"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11.2</w:t>
            </w:r>
          </w:p>
        </w:tc>
        <w:tc>
          <w:tcPr>
            <w:cnfStyle w:val="000010000000" w:firstRow="0" w:lastRow="0" w:firstColumn="0" w:lastColumn="0" w:oddVBand="1" w:evenVBand="0" w:oddHBand="0" w:evenHBand="0" w:firstRowFirstColumn="0" w:firstRowLastColumn="0" w:lastRowFirstColumn="0" w:lastRowLastColumn="0"/>
            <w:tcW w:w="1000" w:type="pct"/>
          </w:tcPr>
          <w:p w14:paraId="0AEDB160"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33.9</w:t>
            </w:r>
          </w:p>
        </w:tc>
        <w:tc>
          <w:tcPr>
            <w:cnfStyle w:val="000100000000" w:firstRow="0" w:lastRow="0" w:firstColumn="0" w:lastColumn="1" w:oddVBand="0" w:evenVBand="0" w:oddHBand="0" w:evenHBand="0" w:firstRowFirstColumn="0" w:firstRowLastColumn="0" w:lastRowFirstColumn="0" w:lastRowLastColumn="0"/>
            <w:tcW w:w="1000" w:type="pct"/>
          </w:tcPr>
          <w:p w14:paraId="5BBA5676"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42.5</w:t>
            </w:r>
          </w:p>
        </w:tc>
      </w:tr>
      <w:tr w:rsidR="00C94B87" w:rsidRPr="00366853" w14:paraId="0D5AEB05"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415CDB5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1000" w:type="pct"/>
          </w:tcPr>
          <w:p w14:paraId="2257997C"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Individual technicians</w:t>
            </w:r>
          </w:p>
        </w:tc>
        <w:tc>
          <w:tcPr>
            <w:tcW w:w="1000" w:type="pct"/>
          </w:tcPr>
          <w:p w14:paraId="15A7EDB6"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8.0</w:t>
            </w:r>
          </w:p>
        </w:tc>
        <w:tc>
          <w:tcPr>
            <w:cnfStyle w:val="000010000000" w:firstRow="0" w:lastRow="0" w:firstColumn="0" w:lastColumn="0" w:oddVBand="1" w:evenVBand="0" w:oddHBand="0" w:evenHBand="0" w:firstRowFirstColumn="0" w:firstRowLastColumn="0" w:lastRowFirstColumn="0" w:lastRowLastColumn="0"/>
            <w:tcW w:w="1000" w:type="pct"/>
          </w:tcPr>
          <w:p w14:paraId="6657136A"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23.4</w:t>
            </w:r>
          </w:p>
        </w:tc>
        <w:tc>
          <w:tcPr>
            <w:cnfStyle w:val="000100000000" w:firstRow="0" w:lastRow="0" w:firstColumn="0" w:lastColumn="1" w:oddVBand="0" w:evenVBand="0" w:oddHBand="0" w:evenHBand="0" w:firstRowFirstColumn="0" w:firstRowLastColumn="0" w:lastRowFirstColumn="0" w:lastRowLastColumn="0"/>
            <w:tcW w:w="1000" w:type="pct"/>
          </w:tcPr>
          <w:p w14:paraId="3590C17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28.2</w:t>
            </w:r>
          </w:p>
        </w:tc>
      </w:tr>
      <w:tr w:rsidR="00C94B87" w:rsidRPr="00366853" w14:paraId="33EC3647"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73F6CACC"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1000" w:type="pct"/>
          </w:tcPr>
          <w:p w14:paraId="5DCEE5D9"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Wine producers</w:t>
            </w:r>
          </w:p>
        </w:tc>
        <w:tc>
          <w:tcPr>
            <w:tcW w:w="1000" w:type="pct"/>
          </w:tcPr>
          <w:p w14:paraId="6554ABD8"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1000" w:type="pct"/>
          </w:tcPr>
          <w:p w14:paraId="7C515A87"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1.3</w:t>
            </w:r>
          </w:p>
        </w:tc>
        <w:tc>
          <w:tcPr>
            <w:cnfStyle w:val="000100000000" w:firstRow="0" w:lastRow="0" w:firstColumn="0" w:lastColumn="1" w:oddVBand="0" w:evenVBand="0" w:oddHBand="0" w:evenHBand="0" w:firstRowFirstColumn="0" w:firstRowLastColumn="0" w:lastRowFirstColumn="0" w:lastRowLastColumn="0"/>
            <w:tcW w:w="1000" w:type="pct"/>
          </w:tcPr>
          <w:p w14:paraId="580ADDCF"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3.5</w:t>
            </w:r>
          </w:p>
        </w:tc>
      </w:tr>
      <w:tr w:rsidR="00C94B87" w:rsidRPr="00366853" w14:paraId="3D03AE92"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07EB00BD"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1000" w:type="pct"/>
          </w:tcPr>
          <w:p w14:paraId="5D87F5F3"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Soft drink producers</w:t>
            </w:r>
          </w:p>
        </w:tc>
        <w:tc>
          <w:tcPr>
            <w:tcW w:w="1000" w:type="pct"/>
          </w:tcPr>
          <w:p w14:paraId="43F35A52"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1.9</w:t>
            </w:r>
          </w:p>
        </w:tc>
        <w:tc>
          <w:tcPr>
            <w:cnfStyle w:val="000010000000" w:firstRow="0" w:lastRow="0" w:firstColumn="0" w:lastColumn="0" w:oddVBand="1" w:evenVBand="0" w:oddHBand="0" w:evenHBand="0" w:firstRowFirstColumn="0" w:firstRowLastColumn="0" w:lastRowFirstColumn="0" w:lastRowLastColumn="0"/>
            <w:tcW w:w="1000" w:type="pct"/>
          </w:tcPr>
          <w:p w14:paraId="69DCDCF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5.0</w:t>
            </w:r>
          </w:p>
        </w:tc>
        <w:tc>
          <w:tcPr>
            <w:cnfStyle w:val="000100000000" w:firstRow="0" w:lastRow="0" w:firstColumn="0" w:lastColumn="1" w:oddVBand="0" w:evenVBand="0" w:oddHBand="0" w:evenHBand="0" w:firstRowFirstColumn="0" w:firstRowLastColumn="0" w:lastRowFirstColumn="0" w:lastRowLastColumn="0"/>
            <w:tcW w:w="1000" w:type="pct"/>
          </w:tcPr>
          <w:p w14:paraId="5916067C"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2.83</w:t>
            </w:r>
          </w:p>
        </w:tc>
      </w:tr>
      <w:tr w:rsidR="00C94B87" w:rsidRPr="00366853" w14:paraId="6DB5EEDD"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514CE39D"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6</w:t>
            </w:r>
          </w:p>
        </w:tc>
        <w:tc>
          <w:tcPr>
            <w:cnfStyle w:val="000010000000" w:firstRow="0" w:lastRow="0" w:firstColumn="0" w:lastColumn="0" w:oddVBand="1" w:evenVBand="0" w:oddHBand="0" w:evenHBand="0" w:firstRowFirstColumn="0" w:firstRowLastColumn="0" w:lastRowFirstColumn="0" w:lastRowLastColumn="0"/>
            <w:tcW w:w="1000" w:type="pct"/>
          </w:tcPr>
          <w:p w14:paraId="0DC4F04E"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Public establishments (Museums, Libraries, Concert halls etc.)</w:t>
            </w:r>
          </w:p>
        </w:tc>
        <w:tc>
          <w:tcPr>
            <w:tcW w:w="1000" w:type="pct"/>
          </w:tcPr>
          <w:p w14:paraId="574393E3"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13.2</w:t>
            </w:r>
          </w:p>
        </w:tc>
        <w:tc>
          <w:tcPr>
            <w:cnfStyle w:val="000010000000" w:firstRow="0" w:lastRow="0" w:firstColumn="0" w:lastColumn="0" w:oddVBand="1" w:evenVBand="0" w:oddHBand="0" w:evenHBand="0" w:firstRowFirstColumn="0" w:firstRowLastColumn="0" w:lastRowFirstColumn="0" w:lastRowLastColumn="0"/>
            <w:tcW w:w="1000" w:type="pct"/>
          </w:tcPr>
          <w:p w14:paraId="568D441B"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9.08</w:t>
            </w:r>
          </w:p>
        </w:tc>
        <w:tc>
          <w:tcPr>
            <w:cnfStyle w:val="000100000000" w:firstRow="0" w:lastRow="0" w:firstColumn="0" w:lastColumn="1" w:oddVBand="0" w:evenVBand="0" w:oddHBand="0" w:evenHBand="0" w:firstRowFirstColumn="0" w:firstRowLastColumn="0" w:lastRowFirstColumn="0" w:lastRowLastColumn="0"/>
            <w:tcW w:w="1000" w:type="pct"/>
          </w:tcPr>
          <w:p w14:paraId="047A9515"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9.3</w:t>
            </w:r>
          </w:p>
        </w:tc>
      </w:tr>
      <w:tr w:rsidR="00C94B87" w:rsidRPr="00366853" w14:paraId="16F91DEB"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FFC000"/>
          </w:tcPr>
          <w:p w14:paraId="779982E0" w14:textId="77777777" w:rsidR="00C94B87" w:rsidRPr="00366853" w:rsidRDefault="00C94B87" w:rsidP="00CE1543">
            <w:pPr>
              <w:jc w:val="center"/>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573ECF79" w14:textId="77777777" w:rsidR="00C94B87" w:rsidRPr="00366853" w:rsidRDefault="00C94B87" w:rsidP="00CE1543">
            <w:pPr>
              <w:jc w:val="right"/>
              <w:rPr>
                <w:rFonts w:ascii="Times New Roman" w:hAnsi="Times New Roman"/>
                <w:b/>
                <w:bCs/>
                <w:sz w:val="18"/>
                <w:szCs w:val="18"/>
              </w:rPr>
            </w:pPr>
            <w:r w:rsidRPr="00366853">
              <w:rPr>
                <w:rFonts w:ascii="Times New Roman" w:hAnsi="Times New Roman"/>
                <w:b/>
                <w:bCs/>
                <w:sz w:val="18"/>
                <w:szCs w:val="18"/>
              </w:rPr>
              <w:t>Total in 2018</w:t>
            </w:r>
          </w:p>
        </w:tc>
        <w:tc>
          <w:tcPr>
            <w:tcW w:w="1000" w:type="pct"/>
            <w:shd w:val="clear" w:color="auto" w:fill="FFC000"/>
          </w:tcPr>
          <w:p w14:paraId="1FAA37CA"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366853">
              <w:rPr>
                <w:rFonts w:ascii="Times New Roman" w:hAnsi="Times New Roman"/>
                <w:b/>
                <w:bCs/>
                <w:sz w:val="18"/>
                <w:szCs w:val="18"/>
              </w:rPr>
              <w:t>34.30</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602B0A43" w14:textId="77777777" w:rsidR="00C94B87" w:rsidRPr="00366853" w:rsidRDefault="00C94B87" w:rsidP="00CE1543">
            <w:pPr>
              <w:jc w:val="center"/>
              <w:rPr>
                <w:rFonts w:ascii="Times New Roman" w:hAnsi="Times New Roman"/>
                <w:b/>
                <w:bCs/>
                <w:sz w:val="18"/>
                <w:szCs w:val="18"/>
              </w:rPr>
            </w:pPr>
            <w:r w:rsidRPr="00366853">
              <w:rPr>
                <w:rFonts w:ascii="Times New Roman" w:hAnsi="Times New Roman"/>
                <w:b/>
                <w:bCs/>
                <w:sz w:val="18"/>
                <w:szCs w:val="18"/>
              </w:rPr>
              <w:t>72.68</w:t>
            </w:r>
          </w:p>
        </w:tc>
        <w:tc>
          <w:tcPr>
            <w:cnfStyle w:val="000100000000" w:firstRow="0" w:lastRow="0" w:firstColumn="0" w:lastColumn="1" w:oddVBand="0" w:evenVBand="0" w:oddHBand="0" w:evenHBand="0" w:firstRowFirstColumn="0" w:firstRowLastColumn="0" w:lastRowFirstColumn="0" w:lastRowLastColumn="0"/>
            <w:tcW w:w="1000" w:type="pct"/>
            <w:shd w:val="clear" w:color="auto" w:fill="FFC000"/>
          </w:tcPr>
          <w:p w14:paraId="6E3589EC"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86.33</w:t>
            </w:r>
          </w:p>
        </w:tc>
      </w:tr>
      <w:tr w:rsidR="00C94B87" w:rsidRPr="00366853" w14:paraId="32DE74A3"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tcPr>
          <w:p w14:paraId="6DFD8B86"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2019</w:t>
            </w:r>
          </w:p>
        </w:tc>
      </w:tr>
      <w:tr w:rsidR="00C94B87" w:rsidRPr="00366853" w14:paraId="7C209EB8"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1B2D6CDB"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1000" w:type="pct"/>
          </w:tcPr>
          <w:p w14:paraId="38B5C6A8"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Service companies</w:t>
            </w:r>
          </w:p>
        </w:tc>
        <w:tc>
          <w:tcPr>
            <w:tcW w:w="1000" w:type="pct"/>
          </w:tcPr>
          <w:p w14:paraId="3092DE3E"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15.5</w:t>
            </w:r>
          </w:p>
        </w:tc>
        <w:tc>
          <w:tcPr>
            <w:cnfStyle w:val="000010000000" w:firstRow="0" w:lastRow="0" w:firstColumn="0" w:lastColumn="0" w:oddVBand="1" w:evenVBand="0" w:oddHBand="0" w:evenHBand="0" w:firstRowFirstColumn="0" w:firstRowLastColumn="0" w:lastRowFirstColumn="0" w:lastRowLastColumn="0"/>
            <w:tcW w:w="1000" w:type="pct"/>
          </w:tcPr>
          <w:p w14:paraId="0D64C7BE"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45.7</w:t>
            </w:r>
          </w:p>
        </w:tc>
        <w:tc>
          <w:tcPr>
            <w:cnfStyle w:val="000100000000" w:firstRow="0" w:lastRow="0" w:firstColumn="0" w:lastColumn="1" w:oddVBand="0" w:evenVBand="0" w:oddHBand="0" w:evenHBand="0" w:firstRowFirstColumn="0" w:firstRowLastColumn="0" w:lastRowFirstColumn="0" w:lastRowLastColumn="0"/>
            <w:tcW w:w="1000" w:type="pct"/>
          </w:tcPr>
          <w:p w14:paraId="6E4F87FB"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48.5</w:t>
            </w:r>
          </w:p>
        </w:tc>
      </w:tr>
      <w:tr w:rsidR="00C94B87" w:rsidRPr="00366853" w14:paraId="453B732C"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0A75E079"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1000" w:type="pct"/>
          </w:tcPr>
          <w:p w14:paraId="67313D86"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Individual technicians</w:t>
            </w:r>
          </w:p>
        </w:tc>
        <w:tc>
          <w:tcPr>
            <w:tcW w:w="1000" w:type="pct"/>
          </w:tcPr>
          <w:p w14:paraId="67122707"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11.7</w:t>
            </w:r>
          </w:p>
        </w:tc>
        <w:tc>
          <w:tcPr>
            <w:cnfStyle w:val="000010000000" w:firstRow="0" w:lastRow="0" w:firstColumn="0" w:lastColumn="0" w:oddVBand="1" w:evenVBand="0" w:oddHBand="0" w:evenHBand="0" w:firstRowFirstColumn="0" w:firstRowLastColumn="0" w:lastRowFirstColumn="0" w:lastRowLastColumn="0"/>
            <w:tcW w:w="1000" w:type="pct"/>
          </w:tcPr>
          <w:p w14:paraId="3E70203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29.5</w:t>
            </w:r>
          </w:p>
        </w:tc>
        <w:tc>
          <w:tcPr>
            <w:cnfStyle w:val="000100000000" w:firstRow="0" w:lastRow="0" w:firstColumn="0" w:lastColumn="1" w:oddVBand="0" w:evenVBand="0" w:oddHBand="0" w:evenHBand="0" w:firstRowFirstColumn="0" w:firstRowLastColumn="0" w:lastRowFirstColumn="0" w:lastRowLastColumn="0"/>
            <w:tcW w:w="1000" w:type="pct"/>
          </w:tcPr>
          <w:p w14:paraId="6E90D4AA"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32.1</w:t>
            </w:r>
          </w:p>
        </w:tc>
      </w:tr>
      <w:tr w:rsidR="00C94B87" w:rsidRPr="00366853" w14:paraId="4A8261EF"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14BE2ABD"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1000" w:type="pct"/>
          </w:tcPr>
          <w:p w14:paraId="5E7A60A3"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Wine producers</w:t>
            </w:r>
          </w:p>
        </w:tc>
        <w:tc>
          <w:tcPr>
            <w:tcW w:w="1000" w:type="pct"/>
          </w:tcPr>
          <w:p w14:paraId="17DA2E1A"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1.5</w:t>
            </w:r>
          </w:p>
        </w:tc>
        <w:tc>
          <w:tcPr>
            <w:cnfStyle w:val="000010000000" w:firstRow="0" w:lastRow="0" w:firstColumn="0" w:lastColumn="0" w:oddVBand="1" w:evenVBand="0" w:oddHBand="0" w:evenHBand="0" w:firstRowFirstColumn="0" w:firstRowLastColumn="0" w:lastRowFirstColumn="0" w:lastRowLastColumn="0"/>
            <w:tcW w:w="1000" w:type="pct"/>
          </w:tcPr>
          <w:p w14:paraId="2827499A"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1.0</w:t>
            </w:r>
          </w:p>
        </w:tc>
        <w:tc>
          <w:tcPr>
            <w:cnfStyle w:val="000100000000" w:firstRow="0" w:lastRow="0" w:firstColumn="0" w:lastColumn="1" w:oddVBand="0" w:evenVBand="0" w:oddHBand="0" w:evenHBand="0" w:firstRowFirstColumn="0" w:firstRowLastColumn="0" w:lastRowFirstColumn="0" w:lastRowLastColumn="0"/>
            <w:tcW w:w="1000" w:type="pct"/>
          </w:tcPr>
          <w:p w14:paraId="063F6E98"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3.0</w:t>
            </w:r>
          </w:p>
        </w:tc>
      </w:tr>
      <w:tr w:rsidR="00C94B87" w:rsidRPr="00366853" w14:paraId="1BA2CB47"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06F3E7D1"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1000" w:type="pct"/>
          </w:tcPr>
          <w:p w14:paraId="5610F62C"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Soft drink producers</w:t>
            </w:r>
          </w:p>
        </w:tc>
        <w:tc>
          <w:tcPr>
            <w:tcW w:w="1000" w:type="pct"/>
          </w:tcPr>
          <w:p w14:paraId="63C0C721"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2.6</w:t>
            </w:r>
          </w:p>
        </w:tc>
        <w:tc>
          <w:tcPr>
            <w:cnfStyle w:val="000010000000" w:firstRow="0" w:lastRow="0" w:firstColumn="0" w:lastColumn="0" w:oddVBand="1" w:evenVBand="0" w:oddHBand="0" w:evenHBand="0" w:firstRowFirstColumn="0" w:firstRowLastColumn="0" w:lastRowFirstColumn="0" w:lastRowLastColumn="0"/>
            <w:tcW w:w="1000" w:type="pct"/>
          </w:tcPr>
          <w:p w14:paraId="75A43253"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7.8</w:t>
            </w:r>
          </w:p>
        </w:tc>
        <w:tc>
          <w:tcPr>
            <w:cnfStyle w:val="000100000000" w:firstRow="0" w:lastRow="0" w:firstColumn="0" w:lastColumn="1" w:oddVBand="0" w:evenVBand="0" w:oddHBand="0" w:evenHBand="0" w:firstRowFirstColumn="0" w:firstRowLastColumn="0" w:lastRowFirstColumn="0" w:lastRowLastColumn="0"/>
            <w:tcW w:w="1000" w:type="pct"/>
          </w:tcPr>
          <w:p w14:paraId="372B853A"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3.3</w:t>
            </w:r>
          </w:p>
        </w:tc>
      </w:tr>
      <w:tr w:rsidR="00C94B87" w:rsidRPr="00366853" w14:paraId="61790F94"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4F5D2807"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6</w:t>
            </w:r>
          </w:p>
        </w:tc>
        <w:tc>
          <w:tcPr>
            <w:cnfStyle w:val="000010000000" w:firstRow="0" w:lastRow="0" w:firstColumn="0" w:lastColumn="0" w:oddVBand="1" w:evenVBand="0" w:oddHBand="0" w:evenHBand="0" w:firstRowFirstColumn="0" w:firstRowLastColumn="0" w:lastRowFirstColumn="0" w:lastRowLastColumn="0"/>
            <w:tcW w:w="1000" w:type="pct"/>
          </w:tcPr>
          <w:p w14:paraId="43D56817" w14:textId="77777777" w:rsidR="00C94B87" w:rsidRPr="00366853" w:rsidRDefault="00C94B87" w:rsidP="00CE1543">
            <w:pPr>
              <w:rPr>
                <w:rFonts w:ascii="Times New Roman" w:hAnsi="Times New Roman"/>
                <w:sz w:val="18"/>
                <w:szCs w:val="18"/>
              </w:rPr>
            </w:pPr>
            <w:r w:rsidRPr="00366853">
              <w:rPr>
                <w:rFonts w:ascii="Times New Roman" w:hAnsi="Times New Roman"/>
                <w:sz w:val="18"/>
                <w:szCs w:val="18"/>
              </w:rPr>
              <w:t>Public establishments (Museums, Libraries, Concert halls etc.)</w:t>
            </w:r>
          </w:p>
        </w:tc>
        <w:tc>
          <w:tcPr>
            <w:tcW w:w="1000" w:type="pct"/>
          </w:tcPr>
          <w:p w14:paraId="6D070222"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12.29</w:t>
            </w:r>
          </w:p>
        </w:tc>
        <w:tc>
          <w:tcPr>
            <w:cnfStyle w:val="000010000000" w:firstRow="0" w:lastRow="0" w:firstColumn="0" w:lastColumn="0" w:oddVBand="1" w:evenVBand="0" w:oddHBand="0" w:evenHBand="0" w:firstRowFirstColumn="0" w:firstRowLastColumn="0" w:lastRowFirstColumn="0" w:lastRowLastColumn="0"/>
            <w:tcW w:w="1000" w:type="pct"/>
          </w:tcPr>
          <w:p w14:paraId="40E9D301"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24.06</w:t>
            </w:r>
          </w:p>
        </w:tc>
        <w:tc>
          <w:tcPr>
            <w:cnfStyle w:val="000100000000" w:firstRow="0" w:lastRow="0" w:firstColumn="0" w:lastColumn="1" w:oddVBand="0" w:evenVBand="0" w:oddHBand="0" w:evenHBand="0" w:firstRowFirstColumn="0" w:firstRowLastColumn="0" w:lastRowFirstColumn="0" w:lastRowLastColumn="0"/>
            <w:tcW w:w="1000" w:type="pct"/>
          </w:tcPr>
          <w:p w14:paraId="6550A28E"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8.44</w:t>
            </w:r>
          </w:p>
        </w:tc>
      </w:tr>
      <w:tr w:rsidR="00C94B87" w:rsidRPr="00366853" w14:paraId="53F3AFD8"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FFC000"/>
          </w:tcPr>
          <w:p w14:paraId="7C57937A" w14:textId="77777777" w:rsidR="00C94B87" w:rsidRPr="00366853" w:rsidRDefault="00C94B87" w:rsidP="00CE1543">
            <w:pPr>
              <w:jc w:val="center"/>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46C1B30B" w14:textId="77777777" w:rsidR="00C94B87" w:rsidRPr="007131D0" w:rsidRDefault="00C94B87" w:rsidP="00CE1543">
            <w:pPr>
              <w:jc w:val="right"/>
              <w:rPr>
                <w:rFonts w:ascii="Times New Roman" w:hAnsi="Times New Roman"/>
                <w:b/>
                <w:bCs/>
                <w:sz w:val="18"/>
                <w:szCs w:val="18"/>
              </w:rPr>
            </w:pPr>
            <w:r w:rsidRPr="007131D0">
              <w:rPr>
                <w:rFonts w:ascii="Times New Roman" w:hAnsi="Times New Roman"/>
                <w:b/>
                <w:bCs/>
                <w:sz w:val="18"/>
                <w:szCs w:val="18"/>
              </w:rPr>
              <w:t>Total in 2019</w:t>
            </w:r>
          </w:p>
        </w:tc>
        <w:tc>
          <w:tcPr>
            <w:tcW w:w="1000" w:type="pct"/>
            <w:shd w:val="clear" w:color="auto" w:fill="FFC000"/>
          </w:tcPr>
          <w:p w14:paraId="0FFE936D" w14:textId="77777777" w:rsidR="00C94B87" w:rsidRPr="007131D0"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7131D0">
              <w:rPr>
                <w:rFonts w:ascii="Times New Roman" w:hAnsi="Times New Roman"/>
                <w:b/>
                <w:bCs/>
                <w:sz w:val="18"/>
                <w:szCs w:val="18"/>
              </w:rPr>
              <w:t>43.59</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346A7BB0" w14:textId="77777777" w:rsidR="00C94B87" w:rsidRPr="007131D0" w:rsidRDefault="00C94B87" w:rsidP="00CE1543">
            <w:pPr>
              <w:jc w:val="center"/>
              <w:rPr>
                <w:rFonts w:ascii="Times New Roman" w:hAnsi="Times New Roman"/>
                <w:b/>
                <w:bCs/>
                <w:sz w:val="18"/>
                <w:szCs w:val="18"/>
              </w:rPr>
            </w:pPr>
            <w:r w:rsidRPr="007131D0">
              <w:rPr>
                <w:rFonts w:ascii="Times New Roman" w:hAnsi="Times New Roman"/>
                <w:b/>
                <w:bCs/>
                <w:sz w:val="18"/>
                <w:szCs w:val="18"/>
              </w:rPr>
              <w:t>108.06</w:t>
            </w:r>
          </w:p>
        </w:tc>
        <w:tc>
          <w:tcPr>
            <w:cnfStyle w:val="000100000000" w:firstRow="0" w:lastRow="0" w:firstColumn="0" w:lastColumn="1" w:oddVBand="0" w:evenVBand="0" w:oddHBand="0" w:evenHBand="0" w:firstRowFirstColumn="0" w:firstRowLastColumn="0" w:lastRowFirstColumn="0" w:lastRowLastColumn="0"/>
            <w:tcW w:w="1000" w:type="pct"/>
            <w:shd w:val="clear" w:color="auto" w:fill="FFC000"/>
          </w:tcPr>
          <w:p w14:paraId="7417E687"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95.34</w:t>
            </w:r>
          </w:p>
        </w:tc>
      </w:tr>
      <w:tr w:rsidR="00C94B87" w:rsidRPr="00366853" w14:paraId="1593D968"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tcPr>
          <w:p w14:paraId="46ADD366"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20</w:t>
            </w:r>
            <w:r>
              <w:rPr>
                <w:rFonts w:ascii="Times New Roman" w:hAnsi="Times New Roman"/>
                <w:sz w:val="18"/>
                <w:szCs w:val="18"/>
              </w:rPr>
              <w:t>20</w:t>
            </w:r>
          </w:p>
        </w:tc>
      </w:tr>
      <w:tr w:rsidR="00C94B87" w:rsidRPr="00366853" w14:paraId="410C2F95"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64082D17"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1000" w:type="pct"/>
          </w:tcPr>
          <w:p w14:paraId="28B6C20B" w14:textId="77777777" w:rsidR="00C94B87" w:rsidRPr="00366853" w:rsidRDefault="00C94B87" w:rsidP="00CE1543">
            <w:pPr>
              <w:rPr>
                <w:rFonts w:ascii="Times New Roman" w:hAnsi="Times New Roman"/>
                <w:sz w:val="18"/>
                <w:szCs w:val="18"/>
              </w:rPr>
            </w:pPr>
            <w:r w:rsidRPr="007131D0">
              <w:rPr>
                <w:rFonts w:ascii="Times New Roman" w:hAnsi="Times New Roman"/>
                <w:sz w:val="18"/>
                <w:szCs w:val="18"/>
              </w:rPr>
              <w:t>Service companies</w:t>
            </w:r>
          </w:p>
        </w:tc>
        <w:tc>
          <w:tcPr>
            <w:tcW w:w="1000" w:type="pct"/>
          </w:tcPr>
          <w:p w14:paraId="063EEF0D"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5.5</w:t>
            </w:r>
          </w:p>
        </w:tc>
        <w:tc>
          <w:tcPr>
            <w:cnfStyle w:val="000010000000" w:firstRow="0" w:lastRow="0" w:firstColumn="0" w:lastColumn="0" w:oddVBand="1" w:evenVBand="0" w:oddHBand="0" w:evenHBand="0" w:firstRowFirstColumn="0" w:firstRowLastColumn="0" w:lastRowFirstColumn="0" w:lastRowLastColumn="0"/>
            <w:tcW w:w="1000" w:type="pct"/>
          </w:tcPr>
          <w:p w14:paraId="37656B0A"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54.4</w:t>
            </w:r>
          </w:p>
        </w:tc>
        <w:tc>
          <w:tcPr>
            <w:cnfStyle w:val="000100000000" w:firstRow="0" w:lastRow="0" w:firstColumn="0" w:lastColumn="1" w:oddVBand="0" w:evenVBand="0" w:oddHBand="0" w:evenHBand="0" w:firstRowFirstColumn="0" w:firstRowLastColumn="0" w:lastRowFirstColumn="0" w:lastRowLastColumn="0"/>
            <w:tcW w:w="1000" w:type="pct"/>
          </w:tcPr>
          <w:p w14:paraId="48C823A4"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53.5</w:t>
            </w:r>
          </w:p>
        </w:tc>
      </w:tr>
      <w:tr w:rsidR="00C94B87" w:rsidRPr="00366853" w14:paraId="36445DB6"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0B8A3B47"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1000" w:type="pct"/>
          </w:tcPr>
          <w:p w14:paraId="5110C598" w14:textId="77777777" w:rsidR="00C94B87" w:rsidRPr="00366853" w:rsidRDefault="00C94B87" w:rsidP="00CE1543">
            <w:pPr>
              <w:rPr>
                <w:rFonts w:ascii="Times New Roman" w:hAnsi="Times New Roman"/>
                <w:sz w:val="18"/>
                <w:szCs w:val="18"/>
              </w:rPr>
            </w:pPr>
            <w:r w:rsidRPr="007131D0">
              <w:rPr>
                <w:rFonts w:ascii="Times New Roman" w:hAnsi="Times New Roman"/>
                <w:sz w:val="18"/>
                <w:szCs w:val="18"/>
              </w:rPr>
              <w:t>Individual technicians</w:t>
            </w:r>
          </w:p>
        </w:tc>
        <w:tc>
          <w:tcPr>
            <w:tcW w:w="1000" w:type="pct"/>
          </w:tcPr>
          <w:p w14:paraId="0B7937E8"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3.7</w:t>
            </w:r>
          </w:p>
        </w:tc>
        <w:tc>
          <w:tcPr>
            <w:cnfStyle w:val="000010000000" w:firstRow="0" w:lastRow="0" w:firstColumn="0" w:lastColumn="0" w:oddVBand="1" w:evenVBand="0" w:oddHBand="0" w:evenHBand="0" w:firstRowFirstColumn="0" w:firstRowLastColumn="0" w:lastRowFirstColumn="0" w:lastRowLastColumn="0"/>
            <w:tcW w:w="1000" w:type="pct"/>
          </w:tcPr>
          <w:p w14:paraId="44627109"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31.8</w:t>
            </w:r>
          </w:p>
        </w:tc>
        <w:tc>
          <w:tcPr>
            <w:cnfStyle w:val="000100000000" w:firstRow="0" w:lastRow="0" w:firstColumn="0" w:lastColumn="1" w:oddVBand="0" w:evenVBand="0" w:oddHBand="0" w:evenHBand="0" w:firstRowFirstColumn="0" w:firstRowLastColumn="0" w:lastRowFirstColumn="0" w:lastRowLastColumn="0"/>
            <w:tcW w:w="1000" w:type="pct"/>
          </w:tcPr>
          <w:p w14:paraId="0F973120"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33.3</w:t>
            </w:r>
          </w:p>
        </w:tc>
      </w:tr>
      <w:tr w:rsidR="00C94B87" w:rsidRPr="00366853" w14:paraId="33E1FB28"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77CBD4B9"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1000" w:type="pct"/>
          </w:tcPr>
          <w:p w14:paraId="61ACB398" w14:textId="77777777" w:rsidR="00C94B87" w:rsidRPr="00366853" w:rsidRDefault="00C94B87" w:rsidP="00CE1543">
            <w:pPr>
              <w:rPr>
                <w:rFonts w:ascii="Times New Roman" w:hAnsi="Times New Roman"/>
                <w:sz w:val="18"/>
                <w:szCs w:val="18"/>
              </w:rPr>
            </w:pPr>
            <w:r w:rsidRPr="007131D0">
              <w:rPr>
                <w:rFonts w:ascii="Times New Roman" w:hAnsi="Times New Roman"/>
                <w:sz w:val="18"/>
                <w:szCs w:val="18"/>
              </w:rPr>
              <w:t>Wine producers</w:t>
            </w:r>
          </w:p>
        </w:tc>
        <w:tc>
          <w:tcPr>
            <w:tcW w:w="1000" w:type="pct"/>
          </w:tcPr>
          <w:p w14:paraId="3972A7C2"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0.6</w:t>
            </w:r>
          </w:p>
        </w:tc>
        <w:tc>
          <w:tcPr>
            <w:cnfStyle w:val="000010000000" w:firstRow="0" w:lastRow="0" w:firstColumn="0" w:lastColumn="0" w:oddVBand="1" w:evenVBand="0" w:oddHBand="0" w:evenHBand="0" w:firstRowFirstColumn="0" w:firstRowLastColumn="0" w:lastRowFirstColumn="0" w:lastRowLastColumn="0"/>
            <w:tcW w:w="1000" w:type="pct"/>
          </w:tcPr>
          <w:p w14:paraId="7E9A99A3"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1.5</w:t>
            </w:r>
          </w:p>
        </w:tc>
        <w:tc>
          <w:tcPr>
            <w:cnfStyle w:val="000100000000" w:firstRow="0" w:lastRow="0" w:firstColumn="0" w:lastColumn="1" w:oddVBand="0" w:evenVBand="0" w:oddHBand="0" w:evenHBand="0" w:firstRowFirstColumn="0" w:firstRowLastColumn="0" w:lastRowFirstColumn="0" w:lastRowLastColumn="0"/>
            <w:tcW w:w="1000" w:type="pct"/>
          </w:tcPr>
          <w:p w14:paraId="0C04EC18"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5.3</w:t>
            </w:r>
          </w:p>
        </w:tc>
      </w:tr>
      <w:tr w:rsidR="00C94B87" w:rsidRPr="00366853" w14:paraId="58BA2A74"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7F6D0E56"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1000" w:type="pct"/>
          </w:tcPr>
          <w:p w14:paraId="15CBED29" w14:textId="77777777" w:rsidR="00C94B87" w:rsidRPr="00366853" w:rsidRDefault="00C94B87" w:rsidP="00CE1543">
            <w:pPr>
              <w:rPr>
                <w:rFonts w:ascii="Times New Roman" w:hAnsi="Times New Roman"/>
                <w:sz w:val="18"/>
                <w:szCs w:val="18"/>
              </w:rPr>
            </w:pPr>
            <w:r w:rsidRPr="007131D0">
              <w:rPr>
                <w:rFonts w:ascii="Times New Roman" w:hAnsi="Times New Roman"/>
                <w:sz w:val="18"/>
                <w:szCs w:val="18"/>
              </w:rPr>
              <w:t>Soft drink producers</w:t>
            </w:r>
          </w:p>
        </w:tc>
        <w:tc>
          <w:tcPr>
            <w:tcW w:w="1000" w:type="pct"/>
          </w:tcPr>
          <w:p w14:paraId="4B55F15F"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1.1</w:t>
            </w:r>
          </w:p>
        </w:tc>
        <w:tc>
          <w:tcPr>
            <w:cnfStyle w:val="000010000000" w:firstRow="0" w:lastRow="0" w:firstColumn="0" w:lastColumn="0" w:oddVBand="1" w:evenVBand="0" w:oddHBand="0" w:evenHBand="0" w:firstRowFirstColumn="0" w:firstRowLastColumn="0" w:lastRowFirstColumn="0" w:lastRowLastColumn="0"/>
            <w:tcW w:w="1000" w:type="pct"/>
          </w:tcPr>
          <w:p w14:paraId="3B199B2F"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6.2</w:t>
            </w:r>
          </w:p>
        </w:tc>
        <w:tc>
          <w:tcPr>
            <w:cnfStyle w:val="000100000000" w:firstRow="0" w:lastRow="0" w:firstColumn="0" w:lastColumn="1" w:oddVBand="0" w:evenVBand="0" w:oddHBand="0" w:evenHBand="0" w:firstRowFirstColumn="0" w:firstRowLastColumn="0" w:lastRowFirstColumn="0" w:lastRowLastColumn="0"/>
            <w:tcW w:w="1000" w:type="pct"/>
          </w:tcPr>
          <w:p w14:paraId="60633376"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4.3</w:t>
            </w:r>
          </w:p>
        </w:tc>
      </w:tr>
      <w:tr w:rsidR="00C94B87" w:rsidRPr="00366853" w14:paraId="1258F84A"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78FB9641"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6</w:t>
            </w:r>
          </w:p>
        </w:tc>
        <w:tc>
          <w:tcPr>
            <w:cnfStyle w:val="000010000000" w:firstRow="0" w:lastRow="0" w:firstColumn="0" w:lastColumn="0" w:oddVBand="1" w:evenVBand="0" w:oddHBand="0" w:evenHBand="0" w:firstRowFirstColumn="0" w:firstRowLastColumn="0" w:lastRowFirstColumn="0" w:lastRowLastColumn="0"/>
            <w:tcW w:w="1000" w:type="pct"/>
          </w:tcPr>
          <w:p w14:paraId="66C02DF4" w14:textId="77777777" w:rsidR="00C94B87" w:rsidRPr="00366853" w:rsidRDefault="00C94B87" w:rsidP="00CE1543">
            <w:pPr>
              <w:rPr>
                <w:rFonts w:ascii="Times New Roman" w:hAnsi="Times New Roman"/>
                <w:sz w:val="18"/>
                <w:szCs w:val="18"/>
              </w:rPr>
            </w:pPr>
            <w:r w:rsidRPr="007131D0">
              <w:rPr>
                <w:rFonts w:ascii="Times New Roman" w:hAnsi="Times New Roman"/>
                <w:sz w:val="18"/>
                <w:szCs w:val="18"/>
              </w:rPr>
              <w:t>Public establishments (Museums, Libraries, Concert halls etc.)</w:t>
            </w:r>
          </w:p>
        </w:tc>
        <w:tc>
          <w:tcPr>
            <w:tcW w:w="1000" w:type="pct"/>
          </w:tcPr>
          <w:p w14:paraId="75AFCAAB"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4.6</w:t>
            </w:r>
          </w:p>
        </w:tc>
        <w:tc>
          <w:tcPr>
            <w:cnfStyle w:val="000010000000" w:firstRow="0" w:lastRow="0" w:firstColumn="0" w:lastColumn="0" w:oddVBand="1" w:evenVBand="0" w:oddHBand="0" w:evenHBand="0" w:firstRowFirstColumn="0" w:firstRowLastColumn="0" w:lastRowFirstColumn="0" w:lastRowLastColumn="0"/>
            <w:tcW w:w="1000" w:type="pct"/>
          </w:tcPr>
          <w:p w14:paraId="73FF0AF0"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14.8</w:t>
            </w:r>
          </w:p>
        </w:tc>
        <w:tc>
          <w:tcPr>
            <w:cnfStyle w:val="000100000000" w:firstRow="0" w:lastRow="0" w:firstColumn="0" w:lastColumn="1" w:oddVBand="0" w:evenVBand="0" w:oddHBand="0" w:evenHBand="0" w:firstRowFirstColumn="0" w:firstRowLastColumn="0" w:lastRowFirstColumn="0" w:lastRowLastColumn="0"/>
            <w:tcW w:w="1000" w:type="pct"/>
          </w:tcPr>
          <w:p w14:paraId="1A538D1B"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11.8</w:t>
            </w:r>
          </w:p>
        </w:tc>
      </w:tr>
      <w:tr w:rsidR="00C94B87" w:rsidRPr="00366853" w14:paraId="6D77E7A6"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FFC000"/>
          </w:tcPr>
          <w:p w14:paraId="7A39DA30" w14:textId="77777777" w:rsidR="00C94B87" w:rsidRPr="007131D0" w:rsidRDefault="00C94B87" w:rsidP="00CE1543">
            <w:pPr>
              <w:rPr>
                <w:rFonts w:ascii="Times New Roman" w:hAnsi="Times New Roman"/>
                <w:b w:val="0"/>
                <w:bCs w:val="0"/>
                <w:sz w:val="18"/>
                <w:szCs w:val="18"/>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18746331" w14:textId="77777777" w:rsidR="00C94B87" w:rsidRPr="007131D0" w:rsidRDefault="00C94B87" w:rsidP="00CE1543">
            <w:pPr>
              <w:jc w:val="right"/>
              <w:rPr>
                <w:rFonts w:ascii="Times New Roman" w:hAnsi="Times New Roman"/>
                <w:b/>
                <w:bCs/>
                <w:sz w:val="18"/>
                <w:szCs w:val="18"/>
              </w:rPr>
            </w:pPr>
            <w:r w:rsidRPr="007131D0">
              <w:rPr>
                <w:rFonts w:ascii="Times New Roman" w:hAnsi="Times New Roman"/>
                <w:b/>
                <w:bCs/>
                <w:sz w:val="18"/>
                <w:szCs w:val="18"/>
              </w:rPr>
              <w:t>Total in 2020</w:t>
            </w:r>
          </w:p>
        </w:tc>
        <w:tc>
          <w:tcPr>
            <w:tcW w:w="1000" w:type="pct"/>
            <w:shd w:val="clear" w:color="auto" w:fill="FFC000"/>
          </w:tcPr>
          <w:p w14:paraId="440E1D1A"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7131D0">
              <w:rPr>
                <w:rFonts w:ascii="Times New Roman" w:hAnsi="Times New Roman"/>
                <w:b/>
                <w:bCs/>
                <w:sz w:val="18"/>
                <w:szCs w:val="18"/>
              </w:rPr>
              <w:t>15.5</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6C7F412A" w14:textId="77777777" w:rsidR="00C94B87" w:rsidRPr="007131D0" w:rsidRDefault="00C94B87" w:rsidP="00CE1543">
            <w:pPr>
              <w:jc w:val="center"/>
              <w:rPr>
                <w:rFonts w:ascii="Times New Roman" w:hAnsi="Times New Roman"/>
                <w:b/>
                <w:bCs/>
                <w:sz w:val="18"/>
                <w:szCs w:val="18"/>
              </w:rPr>
            </w:pPr>
            <w:r w:rsidRPr="007131D0">
              <w:rPr>
                <w:rFonts w:ascii="Times New Roman" w:hAnsi="Times New Roman"/>
                <w:b/>
                <w:bCs/>
                <w:sz w:val="18"/>
                <w:szCs w:val="18"/>
              </w:rPr>
              <w:t>108.7</w:t>
            </w:r>
          </w:p>
        </w:tc>
        <w:tc>
          <w:tcPr>
            <w:cnfStyle w:val="000100000000" w:firstRow="0" w:lastRow="0" w:firstColumn="0" w:lastColumn="1" w:oddVBand="0" w:evenVBand="0" w:oddHBand="0" w:evenHBand="0" w:firstRowFirstColumn="0" w:firstRowLastColumn="0" w:lastRowFirstColumn="0" w:lastRowLastColumn="0"/>
            <w:tcW w:w="1000" w:type="pct"/>
            <w:shd w:val="clear" w:color="auto" w:fill="FFC000"/>
          </w:tcPr>
          <w:p w14:paraId="68F3D67A"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108.2</w:t>
            </w:r>
          </w:p>
        </w:tc>
      </w:tr>
      <w:tr w:rsidR="00C94B87" w:rsidRPr="00366853" w14:paraId="688A2F47"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tcPr>
          <w:p w14:paraId="2BFEC9A3"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2021</w:t>
            </w:r>
          </w:p>
        </w:tc>
      </w:tr>
      <w:tr w:rsidR="00C94B87" w:rsidRPr="00366853" w14:paraId="4B459A4D"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1844B86C"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1000" w:type="pct"/>
          </w:tcPr>
          <w:p w14:paraId="1F63C3DB"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Service companies</w:t>
            </w:r>
          </w:p>
        </w:tc>
        <w:tc>
          <w:tcPr>
            <w:tcW w:w="1000" w:type="pct"/>
          </w:tcPr>
          <w:p w14:paraId="515D5A03"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6.0</w:t>
            </w:r>
          </w:p>
        </w:tc>
        <w:tc>
          <w:tcPr>
            <w:cnfStyle w:val="000010000000" w:firstRow="0" w:lastRow="0" w:firstColumn="0" w:lastColumn="0" w:oddVBand="1" w:evenVBand="0" w:oddHBand="0" w:evenHBand="0" w:firstRowFirstColumn="0" w:firstRowLastColumn="0" w:lastRowFirstColumn="0" w:lastRowLastColumn="0"/>
            <w:tcW w:w="1000" w:type="pct"/>
          </w:tcPr>
          <w:p w14:paraId="0552FA70"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62.6</w:t>
            </w:r>
          </w:p>
        </w:tc>
        <w:tc>
          <w:tcPr>
            <w:cnfStyle w:val="000100000000" w:firstRow="0" w:lastRow="0" w:firstColumn="0" w:lastColumn="1" w:oddVBand="0" w:evenVBand="0" w:oddHBand="0" w:evenHBand="0" w:firstRowFirstColumn="0" w:firstRowLastColumn="0" w:lastRowFirstColumn="0" w:lastRowLastColumn="0"/>
            <w:tcW w:w="1000" w:type="pct"/>
          </w:tcPr>
          <w:p w14:paraId="5B5E49E4"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84.1</w:t>
            </w:r>
          </w:p>
        </w:tc>
      </w:tr>
      <w:tr w:rsidR="00C94B87" w:rsidRPr="007131D0" w14:paraId="67DDBFE2"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483D5A15"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1000" w:type="pct"/>
          </w:tcPr>
          <w:p w14:paraId="74B5B6DC"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Individual technicians</w:t>
            </w:r>
          </w:p>
        </w:tc>
        <w:tc>
          <w:tcPr>
            <w:tcW w:w="1000" w:type="pct"/>
          </w:tcPr>
          <w:p w14:paraId="7A3510F3" w14:textId="77777777" w:rsidR="00C94B87" w:rsidRPr="007131D0"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4.0</w:t>
            </w:r>
          </w:p>
        </w:tc>
        <w:tc>
          <w:tcPr>
            <w:cnfStyle w:val="000010000000" w:firstRow="0" w:lastRow="0" w:firstColumn="0" w:lastColumn="0" w:oddVBand="1" w:evenVBand="0" w:oddHBand="0" w:evenHBand="0" w:firstRowFirstColumn="0" w:firstRowLastColumn="0" w:lastRowFirstColumn="0" w:lastRowLastColumn="0"/>
            <w:tcW w:w="1000" w:type="pct"/>
          </w:tcPr>
          <w:p w14:paraId="60D8445E"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36.8</w:t>
            </w:r>
          </w:p>
        </w:tc>
        <w:tc>
          <w:tcPr>
            <w:cnfStyle w:val="000100000000" w:firstRow="0" w:lastRow="0" w:firstColumn="0" w:lastColumn="1" w:oddVBand="0" w:evenVBand="0" w:oddHBand="0" w:evenHBand="0" w:firstRowFirstColumn="0" w:firstRowLastColumn="0" w:lastRowFirstColumn="0" w:lastRowLastColumn="0"/>
            <w:tcW w:w="1000" w:type="pct"/>
          </w:tcPr>
          <w:p w14:paraId="63C3C15C"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52.3</w:t>
            </w:r>
          </w:p>
        </w:tc>
      </w:tr>
      <w:tr w:rsidR="00C94B87" w:rsidRPr="00366853" w14:paraId="5C187E17"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41173CA9"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1000" w:type="pct"/>
          </w:tcPr>
          <w:p w14:paraId="337EE707"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Wine producers</w:t>
            </w:r>
          </w:p>
        </w:tc>
        <w:tc>
          <w:tcPr>
            <w:tcW w:w="1000" w:type="pct"/>
          </w:tcPr>
          <w:p w14:paraId="2671C3E6"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0.6</w:t>
            </w:r>
          </w:p>
        </w:tc>
        <w:tc>
          <w:tcPr>
            <w:cnfStyle w:val="000010000000" w:firstRow="0" w:lastRow="0" w:firstColumn="0" w:lastColumn="0" w:oddVBand="1" w:evenVBand="0" w:oddHBand="0" w:evenHBand="0" w:firstRowFirstColumn="0" w:firstRowLastColumn="0" w:lastRowFirstColumn="0" w:lastRowLastColumn="0"/>
            <w:tcW w:w="1000" w:type="pct"/>
          </w:tcPr>
          <w:p w14:paraId="7575058D"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1.7</w:t>
            </w:r>
          </w:p>
        </w:tc>
        <w:tc>
          <w:tcPr>
            <w:cnfStyle w:val="000100000000" w:firstRow="0" w:lastRow="0" w:firstColumn="0" w:lastColumn="1" w:oddVBand="0" w:evenVBand="0" w:oddHBand="0" w:evenHBand="0" w:firstRowFirstColumn="0" w:firstRowLastColumn="0" w:lastRowFirstColumn="0" w:lastRowLastColumn="0"/>
            <w:tcW w:w="1000" w:type="pct"/>
          </w:tcPr>
          <w:p w14:paraId="2562D880"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8.3</w:t>
            </w:r>
          </w:p>
        </w:tc>
      </w:tr>
      <w:tr w:rsidR="00C94B87" w:rsidRPr="007131D0" w14:paraId="2742BC1C"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Pr>
          <w:p w14:paraId="32AA1F29"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1000" w:type="pct"/>
          </w:tcPr>
          <w:p w14:paraId="437A2376"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Soft drink producers</w:t>
            </w:r>
          </w:p>
        </w:tc>
        <w:tc>
          <w:tcPr>
            <w:tcW w:w="1000" w:type="pct"/>
          </w:tcPr>
          <w:p w14:paraId="3FAF4F37" w14:textId="77777777" w:rsidR="00C94B87" w:rsidRPr="007131D0"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1.1</w:t>
            </w:r>
          </w:p>
        </w:tc>
        <w:tc>
          <w:tcPr>
            <w:cnfStyle w:val="000010000000" w:firstRow="0" w:lastRow="0" w:firstColumn="0" w:lastColumn="0" w:oddVBand="1" w:evenVBand="0" w:oddHBand="0" w:evenHBand="0" w:firstRowFirstColumn="0" w:firstRowLastColumn="0" w:lastRowFirstColumn="0" w:lastRowLastColumn="0"/>
            <w:tcW w:w="1000" w:type="pct"/>
          </w:tcPr>
          <w:p w14:paraId="437ED9A8"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7.0</w:t>
            </w:r>
          </w:p>
        </w:tc>
        <w:tc>
          <w:tcPr>
            <w:cnfStyle w:val="000100000000" w:firstRow="0" w:lastRow="0" w:firstColumn="0" w:lastColumn="1" w:oddVBand="0" w:evenVBand="0" w:oddHBand="0" w:evenHBand="0" w:firstRowFirstColumn="0" w:firstRowLastColumn="0" w:lastRowFirstColumn="0" w:lastRowLastColumn="0"/>
            <w:tcW w:w="1000" w:type="pct"/>
          </w:tcPr>
          <w:p w14:paraId="7470D25A"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6.8</w:t>
            </w:r>
          </w:p>
        </w:tc>
      </w:tr>
      <w:tr w:rsidR="00C94B87" w:rsidRPr="00366853" w14:paraId="6D2B815E"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Pr>
          <w:p w14:paraId="463749ED"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6</w:t>
            </w:r>
          </w:p>
        </w:tc>
        <w:tc>
          <w:tcPr>
            <w:cnfStyle w:val="000010000000" w:firstRow="0" w:lastRow="0" w:firstColumn="0" w:lastColumn="0" w:oddVBand="1" w:evenVBand="0" w:oddHBand="0" w:evenHBand="0" w:firstRowFirstColumn="0" w:firstRowLastColumn="0" w:lastRowFirstColumn="0" w:lastRowLastColumn="0"/>
            <w:tcW w:w="1000" w:type="pct"/>
          </w:tcPr>
          <w:p w14:paraId="521BD513"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Public establishments (Museums, Libraries, Concert halls etc.)</w:t>
            </w:r>
          </w:p>
        </w:tc>
        <w:tc>
          <w:tcPr>
            <w:tcW w:w="1000" w:type="pct"/>
          </w:tcPr>
          <w:p w14:paraId="10CA1ACA"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5.0</w:t>
            </w:r>
          </w:p>
        </w:tc>
        <w:tc>
          <w:tcPr>
            <w:cnfStyle w:val="000010000000" w:firstRow="0" w:lastRow="0" w:firstColumn="0" w:lastColumn="0" w:oddVBand="1" w:evenVBand="0" w:oddHBand="0" w:evenHBand="0" w:firstRowFirstColumn="0" w:firstRowLastColumn="0" w:lastRowFirstColumn="0" w:lastRowLastColumn="0"/>
            <w:tcW w:w="1000" w:type="pct"/>
          </w:tcPr>
          <w:p w14:paraId="3472658A"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17.1</w:t>
            </w:r>
          </w:p>
        </w:tc>
        <w:tc>
          <w:tcPr>
            <w:cnfStyle w:val="000100000000" w:firstRow="0" w:lastRow="0" w:firstColumn="0" w:lastColumn="1" w:oddVBand="0" w:evenVBand="0" w:oddHBand="0" w:evenHBand="0" w:firstRowFirstColumn="0" w:firstRowLastColumn="0" w:lastRowFirstColumn="0" w:lastRowLastColumn="0"/>
            <w:tcW w:w="1000" w:type="pct"/>
          </w:tcPr>
          <w:p w14:paraId="23AE34C7"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18.7</w:t>
            </w:r>
          </w:p>
        </w:tc>
      </w:tr>
      <w:tr w:rsidR="00C94B87" w:rsidRPr="007131D0" w14:paraId="0382B483"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FFC000"/>
          </w:tcPr>
          <w:p w14:paraId="390EF380" w14:textId="77777777" w:rsidR="00C94B87" w:rsidRPr="007131D0" w:rsidRDefault="00C94B87" w:rsidP="00CE1543">
            <w:pPr>
              <w:jc w:val="center"/>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0DA05530" w14:textId="77777777" w:rsidR="00C94B87" w:rsidRPr="007131D0" w:rsidRDefault="00C94B87" w:rsidP="00CE1543">
            <w:pPr>
              <w:jc w:val="right"/>
              <w:rPr>
                <w:rFonts w:ascii="Times New Roman" w:hAnsi="Times New Roman"/>
                <w:b/>
                <w:bCs/>
                <w:sz w:val="18"/>
                <w:szCs w:val="18"/>
              </w:rPr>
            </w:pPr>
            <w:r w:rsidRPr="007131D0">
              <w:rPr>
                <w:rFonts w:ascii="Times New Roman" w:hAnsi="Times New Roman"/>
                <w:b/>
                <w:bCs/>
                <w:sz w:val="18"/>
                <w:szCs w:val="18"/>
              </w:rPr>
              <w:t>Total in 2021</w:t>
            </w:r>
          </w:p>
        </w:tc>
        <w:tc>
          <w:tcPr>
            <w:tcW w:w="1000" w:type="pct"/>
            <w:shd w:val="clear" w:color="auto" w:fill="FFC000"/>
          </w:tcPr>
          <w:p w14:paraId="5AF0C430" w14:textId="77777777" w:rsidR="00C94B87" w:rsidRPr="007131D0"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7131D0">
              <w:rPr>
                <w:rFonts w:ascii="Times New Roman" w:hAnsi="Times New Roman"/>
                <w:b/>
                <w:bCs/>
                <w:sz w:val="18"/>
                <w:szCs w:val="18"/>
              </w:rPr>
              <w:t>16.7</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61A356A7" w14:textId="77777777" w:rsidR="00C94B87" w:rsidRPr="007131D0" w:rsidRDefault="00C94B87" w:rsidP="00CE1543">
            <w:pPr>
              <w:jc w:val="center"/>
              <w:rPr>
                <w:rFonts w:ascii="Times New Roman" w:hAnsi="Times New Roman"/>
                <w:b/>
                <w:bCs/>
                <w:sz w:val="18"/>
                <w:szCs w:val="18"/>
              </w:rPr>
            </w:pPr>
            <w:r w:rsidRPr="007131D0">
              <w:rPr>
                <w:rFonts w:ascii="Times New Roman" w:hAnsi="Times New Roman"/>
                <w:b/>
                <w:bCs/>
                <w:sz w:val="18"/>
                <w:szCs w:val="18"/>
              </w:rPr>
              <w:t>125.2</w:t>
            </w:r>
          </w:p>
        </w:tc>
        <w:tc>
          <w:tcPr>
            <w:cnfStyle w:val="000100000000" w:firstRow="0" w:lastRow="0" w:firstColumn="0" w:lastColumn="1" w:oddVBand="0" w:evenVBand="0" w:oddHBand="0" w:evenHBand="0" w:firstRowFirstColumn="0" w:firstRowLastColumn="0" w:lastRowFirstColumn="0" w:lastRowLastColumn="0"/>
            <w:tcW w:w="1000" w:type="pct"/>
            <w:shd w:val="clear" w:color="auto" w:fill="FFC000"/>
          </w:tcPr>
          <w:p w14:paraId="5240301D"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170.2</w:t>
            </w:r>
          </w:p>
        </w:tc>
      </w:tr>
      <w:tr w:rsidR="00C94B87" w:rsidRPr="007131D0" w14:paraId="4D7703CA"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tcPr>
          <w:p w14:paraId="4853AF40"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202</w:t>
            </w:r>
            <w:r>
              <w:rPr>
                <w:rFonts w:ascii="Times New Roman" w:hAnsi="Times New Roman"/>
                <w:sz w:val="18"/>
                <w:szCs w:val="18"/>
              </w:rPr>
              <w:t>2</w:t>
            </w:r>
          </w:p>
        </w:tc>
      </w:tr>
      <w:tr w:rsidR="00C94B87" w:rsidRPr="007131D0" w14:paraId="77651DDF"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auto" w:fill="auto"/>
            <w:vAlign w:val="center"/>
          </w:tcPr>
          <w:p w14:paraId="69D9388B"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4D5B165F" w14:textId="77777777" w:rsidR="00C94B87" w:rsidRPr="00366853" w:rsidRDefault="00C94B87" w:rsidP="00CE1543">
            <w:pPr>
              <w:rPr>
                <w:rFonts w:ascii="Times New Roman" w:hAnsi="Times New Roman"/>
                <w:sz w:val="18"/>
                <w:szCs w:val="18"/>
              </w:rPr>
            </w:pPr>
            <w:r w:rsidRPr="007131D0">
              <w:rPr>
                <w:rFonts w:ascii="Times New Roman" w:hAnsi="Times New Roman"/>
                <w:sz w:val="18"/>
                <w:szCs w:val="18"/>
              </w:rPr>
              <w:t>Service companies</w:t>
            </w:r>
          </w:p>
        </w:tc>
        <w:tc>
          <w:tcPr>
            <w:tcW w:w="1000" w:type="pct"/>
          </w:tcPr>
          <w:p w14:paraId="3A76073D" w14:textId="77777777" w:rsidR="00C94B87" w:rsidRPr="007131D0"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6.3</w:t>
            </w:r>
          </w:p>
        </w:tc>
        <w:tc>
          <w:tcPr>
            <w:cnfStyle w:val="000010000000" w:firstRow="0" w:lastRow="0" w:firstColumn="0" w:lastColumn="0" w:oddVBand="1" w:evenVBand="0" w:oddHBand="0" w:evenHBand="0" w:firstRowFirstColumn="0" w:firstRowLastColumn="0" w:lastRowFirstColumn="0" w:lastRowLastColumn="0"/>
            <w:tcW w:w="1000" w:type="pct"/>
          </w:tcPr>
          <w:p w14:paraId="5D0088FF"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94.6</w:t>
            </w:r>
          </w:p>
        </w:tc>
        <w:tc>
          <w:tcPr>
            <w:cnfStyle w:val="000100000000" w:firstRow="0" w:lastRow="0" w:firstColumn="0" w:lastColumn="1" w:oddVBand="0" w:evenVBand="0" w:oddHBand="0" w:evenHBand="0" w:firstRowFirstColumn="0" w:firstRowLastColumn="0" w:lastRowFirstColumn="0" w:lastRowLastColumn="0"/>
            <w:tcW w:w="1000" w:type="pct"/>
          </w:tcPr>
          <w:p w14:paraId="789496AB"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89.4</w:t>
            </w:r>
          </w:p>
        </w:tc>
      </w:tr>
      <w:tr w:rsidR="00C94B87" w:rsidRPr="007131D0" w14:paraId="524C57E7"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000000" w:fill="D9E2F3"/>
            <w:vAlign w:val="center"/>
          </w:tcPr>
          <w:p w14:paraId="7D37E8AC"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64E607A4"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Individual technicians</w:t>
            </w:r>
          </w:p>
        </w:tc>
        <w:tc>
          <w:tcPr>
            <w:tcW w:w="1000" w:type="pct"/>
          </w:tcPr>
          <w:p w14:paraId="67C013D7"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4.2</w:t>
            </w:r>
          </w:p>
        </w:tc>
        <w:tc>
          <w:tcPr>
            <w:cnfStyle w:val="000010000000" w:firstRow="0" w:lastRow="0" w:firstColumn="0" w:lastColumn="0" w:oddVBand="1" w:evenVBand="0" w:oddHBand="0" w:evenHBand="0" w:firstRowFirstColumn="0" w:firstRowLastColumn="0" w:lastRowFirstColumn="0" w:lastRowLastColumn="0"/>
            <w:tcW w:w="1000" w:type="pct"/>
          </w:tcPr>
          <w:p w14:paraId="4EC60336"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55.4</w:t>
            </w:r>
          </w:p>
        </w:tc>
        <w:tc>
          <w:tcPr>
            <w:cnfStyle w:val="000100000000" w:firstRow="0" w:lastRow="0" w:firstColumn="0" w:lastColumn="1" w:oddVBand="0" w:evenVBand="0" w:oddHBand="0" w:evenHBand="0" w:firstRowFirstColumn="0" w:firstRowLastColumn="0" w:lastRowFirstColumn="0" w:lastRowLastColumn="0"/>
            <w:tcW w:w="1000" w:type="pct"/>
          </w:tcPr>
          <w:p w14:paraId="1D75FBDF"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55.6</w:t>
            </w:r>
          </w:p>
        </w:tc>
      </w:tr>
      <w:tr w:rsidR="00C94B87" w:rsidRPr="007131D0" w14:paraId="66717EEC"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auto" w:fill="auto"/>
            <w:vAlign w:val="center"/>
          </w:tcPr>
          <w:p w14:paraId="55D5141B"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6A712BD1"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Wine producers</w:t>
            </w:r>
          </w:p>
        </w:tc>
        <w:tc>
          <w:tcPr>
            <w:tcW w:w="1000" w:type="pct"/>
          </w:tcPr>
          <w:p w14:paraId="12AAF33B" w14:textId="77777777" w:rsidR="00C94B87" w:rsidRPr="007131D0"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0.6</w:t>
            </w:r>
          </w:p>
        </w:tc>
        <w:tc>
          <w:tcPr>
            <w:cnfStyle w:val="000010000000" w:firstRow="0" w:lastRow="0" w:firstColumn="0" w:lastColumn="0" w:oddVBand="1" w:evenVBand="0" w:oddHBand="0" w:evenHBand="0" w:firstRowFirstColumn="0" w:firstRowLastColumn="0" w:lastRowFirstColumn="0" w:lastRowLastColumn="0"/>
            <w:tcW w:w="1000" w:type="pct"/>
          </w:tcPr>
          <w:p w14:paraId="4341CD0A"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2.7</w:t>
            </w:r>
          </w:p>
        </w:tc>
        <w:tc>
          <w:tcPr>
            <w:cnfStyle w:val="000100000000" w:firstRow="0" w:lastRow="0" w:firstColumn="0" w:lastColumn="1" w:oddVBand="0" w:evenVBand="0" w:oddHBand="0" w:evenHBand="0" w:firstRowFirstColumn="0" w:firstRowLastColumn="0" w:lastRowFirstColumn="0" w:lastRowLastColumn="0"/>
            <w:tcW w:w="1000" w:type="pct"/>
          </w:tcPr>
          <w:p w14:paraId="4E63D1B9"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8.9</w:t>
            </w:r>
          </w:p>
        </w:tc>
      </w:tr>
      <w:tr w:rsidR="00C94B87" w:rsidRPr="007131D0" w14:paraId="44F7071A"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000000" w:fill="D9E2F3"/>
            <w:vAlign w:val="center"/>
          </w:tcPr>
          <w:p w14:paraId="2B1EFFF9"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5F4EBDEF"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Soft drink producers</w:t>
            </w:r>
          </w:p>
        </w:tc>
        <w:tc>
          <w:tcPr>
            <w:tcW w:w="1000" w:type="pct"/>
          </w:tcPr>
          <w:p w14:paraId="6AD968CA"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1.2</w:t>
            </w:r>
          </w:p>
        </w:tc>
        <w:tc>
          <w:tcPr>
            <w:cnfStyle w:val="000010000000" w:firstRow="0" w:lastRow="0" w:firstColumn="0" w:lastColumn="0" w:oddVBand="1" w:evenVBand="0" w:oddHBand="0" w:evenHBand="0" w:firstRowFirstColumn="0" w:firstRowLastColumn="0" w:lastRowFirstColumn="0" w:lastRowLastColumn="0"/>
            <w:tcW w:w="1000" w:type="pct"/>
          </w:tcPr>
          <w:p w14:paraId="31960DF6"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10.6</w:t>
            </w:r>
          </w:p>
        </w:tc>
        <w:tc>
          <w:tcPr>
            <w:cnfStyle w:val="000100000000" w:firstRow="0" w:lastRow="0" w:firstColumn="0" w:lastColumn="1" w:oddVBand="0" w:evenVBand="0" w:oddHBand="0" w:evenHBand="0" w:firstRowFirstColumn="0" w:firstRowLastColumn="0" w:lastRowFirstColumn="0" w:lastRowLastColumn="0"/>
            <w:tcW w:w="1000" w:type="pct"/>
          </w:tcPr>
          <w:p w14:paraId="64A26484"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7.2</w:t>
            </w:r>
          </w:p>
        </w:tc>
      </w:tr>
      <w:tr w:rsidR="00C94B87" w:rsidRPr="007131D0" w14:paraId="15D65CD4"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auto" w:fill="auto"/>
            <w:vAlign w:val="center"/>
          </w:tcPr>
          <w:p w14:paraId="53D8408B"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6</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2A30F501"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Public establishments (Museums, Libraries, Concert halls etc.)</w:t>
            </w:r>
          </w:p>
        </w:tc>
        <w:tc>
          <w:tcPr>
            <w:tcW w:w="1000" w:type="pct"/>
          </w:tcPr>
          <w:p w14:paraId="3333FF68" w14:textId="77777777" w:rsidR="00C94B87" w:rsidRPr="007131D0"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131D0">
              <w:rPr>
                <w:rFonts w:ascii="Times New Roman" w:hAnsi="Times New Roman"/>
                <w:sz w:val="18"/>
                <w:szCs w:val="18"/>
              </w:rPr>
              <w:t>5.3</w:t>
            </w:r>
          </w:p>
        </w:tc>
        <w:tc>
          <w:tcPr>
            <w:cnfStyle w:val="000010000000" w:firstRow="0" w:lastRow="0" w:firstColumn="0" w:lastColumn="0" w:oddVBand="1" w:evenVBand="0" w:oddHBand="0" w:evenHBand="0" w:firstRowFirstColumn="0" w:firstRowLastColumn="0" w:lastRowFirstColumn="0" w:lastRowLastColumn="0"/>
            <w:tcW w:w="1000" w:type="pct"/>
          </w:tcPr>
          <w:p w14:paraId="6CD9FCAA"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25.8</w:t>
            </w:r>
          </w:p>
        </w:tc>
        <w:tc>
          <w:tcPr>
            <w:cnfStyle w:val="000100000000" w:firstRow="0" w:lastRow="0" w:firstColumn="0" w:lastColumn="1" w:oddVBand="0" w:evenVBand="0" w:oddHBand="0" w:evenHBand="0" w:firstRowFirstColumn="0" w:firstRowLastColumn="0" w:lastRowFirstColumn="0" w:lastRowLastColumn="0"/>
            <w:tcW w:w="1000" w:type="pct"/>
          </w:tcPr>
          <w:p w14:paraId="01BEF555"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19.7</w:t>
            </w:r>
          </w:p>
        </w:tc>
      </w:tr>
      <w:tr w:rsidR="00C94B87" w:rsidRPr="007131D0" w14:paraId="28D1A618"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000000" w:fill="FFC000"/>
            <w:vAlign w:val="center"/>
          </w:tcPr>
          <w:p w14:paraId="5BB3E52B"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 </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FFC000"/>
            <w:vAlign w:val="center"/>
          </w:tcPr>
          <w:p w14:paraId="1F6B7D49" w14:textId="77777777" w:rsidR="00C94B87" w:rsidRPr="007131D0" w:rsidRDefault="00C94B87" w:rsidP="00CE1543">
            <w:pPr>
              <w:jc w:val="right"/>
              <w:rPr>
                <w:rFonts w:ascii="Times New Roman" w:hAnsi="Times New Roman"/>
                <w:b/>
                <w:bCs/>
                <w:sz w:val="18"/>
                <w:szCs w:val="18"/>
              </w:rPr>
            </w:pPr>
            <w:r w:rsidRPr="007131D0">
              <w:rPr>
                <w:rFonts w:ascii="Times New Roman" w:hAnsi="Times New Roman"/>
                <w:b/>
                <w:bCs/>
                <w:sz w:val="18"/>
                <w:szCs w:val="18"/>
              </w:rPr>
              <w:t>Total in 2022</w:t>
            </w:r>
          </w:p>
        </w:tc>
        <w:tc>
          <w:tcPr>
            <w:tcW w:w="1000" w:type="pct"/>
            <w:shd w:val="clear" w:color="auto" w:fill="FFC000"/>
          </w:tcPr>
          <w:p w14:paraId="79B22B1D"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7131D0">
              <w:rPr>
                <w:rFonts w:ascii="Times New Roman" w:hAnsi="Times New Roman"/>
                <w:b/>
                <w:bCs/>
                <w:sz w:val="18"/>
                <w:szCs w:val="18"/>
              </w:rPr>
              <w:t>17.6</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432CF052" w14:textId="77777777" w:rsidR="00C94B87" w:rsidRPr="007131D0" w:rsidRDefault="00C94B87" w:rsidP="00CE1543">
            <w:pPr>
              <w:jc w:val="center"/>
              <w:rPr>
                <w:rFonts w:ascii="Times New Roman" w:hAnsi="Times New Roman"/>
                <w:b/>
                <w:bCs/>
                <w:sz w:val="18"/>
                <w:szCs w:val="18"/>
              </w:rPr>
            </w:pPr>
            <w:r w:rsidRPr="007131D0">
              <w:rPr>
                <w:rFonts w:ascii="Times New Roman" w:hAnsi="Times New Roman"/>
                <w:b/>
                <w:bCs/>
                <w:sz w:val="18"/>
                <w:szCs w:val="18"/>
              </w:rPr>
              <w:t>189.1</w:t>
            </w:r>
          </w:p>
        </w:tc>
        <w:tc>
          <w:tcPr>
            <w:cnfStyle w:val="000100000000" w:firstRow="0" w:lastRow="0" w:firstColumn="0" w:lastColumn="1" w:oddVBand="0" w:evenVBand="0" w:oddHBand="0" w:evenHBand="0" w:firstRowFirstColumn="0" w:firstRowLastColumn="0" w:lastRowFirstColumn="0" w:lastRowLastColumn="0"/>
            <w:tcW w:w="1000" w:type="pct"/>
            <w:shd w:val="clear" w:color="auto" w:fill="FFC000"/>
          </w:tcPr>
          <w:p w14:paraId="2E0C4C23"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180.8</w:t>
            </w:r>
          </w:p>
        </w:tc>
      </w:tr>
      <w:tr w:rsidR="00C94B87" w:rsidRPr="007131D0" w14:paraId="0DA45179"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tcPr>
          <w:p w14:paraId="0DDDB639"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20</w:t>
            </w:r>
            <w:r>
              <w:rPr>
                <w:rFonts w:ascii="Times New Roman" w:hAnsi="Times New Roman"/>
                <w:sz w:val="18"/>
                <w:szCs w:val="18"/>
              </w:rPr>
              <w:t>23</w:t>
            </w:r>
          </w:p>
        </w:tc>
      </w:tr>
      <w:tr w:rsidR="00C94B87" w:rsidRPr="007131D0" w14:paraId="1878ED0C"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auto" w:fill="auto"/>
            <w:vAlign w:val="center"/>
          </w:tcPr>
          <w:p w14:paraId="73D63B3D"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7CAB7A68" w14:textId="77777777" w:rsidR="00C94B87" w:rsidRPr="00366853" w:rsidRDefault="00C94B87" w:rsidP="00CE1543">
            <w:pPr>
              <w:rPr>
                <w:rFonts w:ascii="Times New Roman" w:hAnsi="Times New Roman"/>
                <w:sz w:val="18"/>
                <w:szCs w:val="18"/>
              </w:rPr>
            </w:pPr>
            <w:r w:rsidRPr="007131D0">
              <w:rPr>
                <w:rFonts w:ascii="Times New Roman" w:hAnsi="Times New Roman"/>
                <w:sz w:val="18"/>
                <w:szCs w:val="18"/>
              </w:rPr>
              <w:t>Service companies</w:t>
            </w:r>
          </w:p>
        </w:tc>
        <w:tc>
          <w:tcPr>
            <w:tcW w:w="1000" w:type="pct"/>
          </w:tcPr>
          <w:p w14:paraId="5983F3AC"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2B2FB5">
              <w:rPr>
                <w:rFonts w:ascii="Times New Roman" w:hAnsi="Times New Roman"/>
                <w:sz w:val="18"/>
                <w:szCs w:val="18"/>
              </w:rPr>
              <w:t>5.6</w:t>
            </w:r>
          </w:p>
        </w:tc>
        <w:tc>
          <w:tcPr>
            <w:cnfStyle w:val="000010000000" w:firstRow="0" w:lastRow="0" w:firstColumn="0" w:lastColumn="0" w:oddVBand="1" w:evenVBand="0" w:oddHBand="0" w:evenHBand="0" w:firstRowFirstColumn="0" w:firstRowLastColumn="0" w:lastRowFirstColumn="0" w:lastRowLastColumn="0"/>
            <w:tcW w:w="1000" w:type="pct"/>
          </w:tcPr>
          <w:p w14:paraId="3627EC1F" w14:textId="77777777" w:rsidR="00C94B87" w:rsidRPr="007131D0" w:rsidRDefault="00C94B87" w:rsidP="00CE1543">
            <w:pPr>
              <w:jc w:val="center"/>
              <w:rPr>
                <w:rFonts w:ascii="Times New Roman" w:hAnsi="Times New Roman"/>
                <w:sz w:val="18"/>
                <w:szCs w:val="18"/>
              </w:rPr>
            </w:pPr>
            <w:r w:rsidRPr="002B2FB5">
              <w:rPr>
                <w:rFonts w:ascii="Times New Roman" w:hAnsi="Times New Roman"/>
                <w:sz w:val="18"/>
                <w:szCs w:val="18"/>
              </w:rPr>
              <w:t>87.2</w:t>
            </w:r>
          </w:p>
        </w:tc>
        <w:tc>
          <w:tcPr>
            <w:cnfStyle w:val="000100000000" w:firstRow="0" w:lastRow="0" w:firstColumn="0" w:lastColumn="1" w:oddVBand="0" w:evenVBand="0" w:oddHBand="0" w:evenHBand="0" w:firstRowFirstColumn="0" w:firstRowLastColumn="0" w:lastRowFirstColumn="0" w:lastRowLastColumn="0"/>
            <w:tcW w:w="1000" w:type="pct"/>
          </w:tcPr>
          <w:p w14:paraId="349A248C" w14:textId="77777777" w:rsidR="00C94B87" w:rsidRPr="002B2FB5" w:rsidRDefault="00C94B87" w:rsidP="00CE1543">
            <w:pPr>
              <w:jc w:val="center"/>
              <w:rPr>
                <w:rFonts w:ascii="Times New Roman" w:hAnsi="Times New Roman"/>
                <w:sz w:val="18"/>
                <w:szCs w:val="18"/>
              </w:rPr>
            </w:pPr>
            <w:r w:rsidRPr="002B2FB5">
              <w:rPr>
                <w:rFonts w:ascii="Times New Roman" w:hAnsi="Times New Roman"/>
                <w:sz w:val="18"/>
                <w:szCs w:val="18"/>
              </w:rPr>
              <w:t>68.3</w:t>
            </w:r>
          </w:p>
        </w:tc>
      </w:tr>
      <w:tr w:rsidR="00C94B87" w:rsidRPr="007131D0" w14:paraId="3BB20AF6"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000000" w:fill="D9E2F3"/>
            <w:vAlign w:val="center"/>
          </w:tcPr>
          <w:p w14:paraId="722AA532"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2</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69106613"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Individual technicians</w:t>
            </w:r>
          </w:p>
        </w:tc>
        <w:tc>
          <w:tcPr>
            <w:tcW w:w="1000" w:type="pct"/>
          </w:tcPr>
          <w:p w14:paraId="3528CAEF" w14:textId="77777777" w:rsidR="00C94B87" w:rsidRPr="007131D0"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2B2FB5">
              <w:rPr>
                <w:rFonts w:ascii="Times New Roman" w:hAnsi="Times New Roman"/>
                <w:sz w:val="18"/>
                <w:szCs w:val="18"/>
              </w:rPr>
              <w:t>3.7</w:t>
            </w:r>
          </w:p>
        </w:tc>
        <w:tc>
          <w:tcPr>
            <w:cnfStyle w:val="000010000000" w:firstRow="0" w:lastRow="0" w:firstColumn="0" w:lastColumn="0" w:oddVBand="1" w:evenVBand="0" w:oddHBand="0" w:evenHBand="0" w:firstRowFirstColumn="0" w:firstRowLastColumn="0" w:lastRowFirstColumn="0" w:lastRowLastColumn="0"/>
            <w:tcW w:w="1000" w:type="pct"/>
          </w:tcPr>
          <w:p w14:paraId="78FDF91B" w14:textId="77777777" w:rsidR="00C94B87" w:rsidRPr="007131D0" w:rsidRDefault="00C94B87" w:rsidP="00CE1543">
            <w:pPr>
              <w:jc w:val="center"/>
              <w:rPr>
                <w:rFonts w:ascii="Times New Roman" w:hAnsi="Times New Roman"/>
                <w:sz w:val="18"/>
                <w:szCs w:val="18"/>
              </w:rPr>
            </w:pPr>
            <w:r w:rsidRPr="002B2FB5">
              <w:rPr>
                <w:rFonts w:ascii="Times New Roman" w:hAnsi="Times New Roman"/>
                <w:sz w:val="18"/>
                <w:szCs w:val="18"/>
              </w:rPr>
              <w:t>51.1</w:t>
            </w:r>
          </w:p>
        </w:tc>
        <w:tc>
          <w:tcPr>
            <w:cnfStyle w:val="000100000000" w:firstRow="0" w:lastRow="0" w:firstColumn="0" w:lastColumn="1" w:oddVBand="0" w:evenVBand="0" w:oddHBand="0" w:evenHBand="0" w:firstRowFirstColumn="0" w:firstRowLastColumn="0" w:lastRowFirstColumn="0" w:lastRowLastColumn="0"/>
            <w:tcW w:w="1000" w:type="pct"/>
          </w:tcPr>
          <w:p w14:paraId="424A692F" w14:textId="77777777" w:rsidR="00C94B87" w:rsidRPr="002B2FB5" w:rsidRDefault="00C94B87" w:rsidP="00CE1543">
            <w:pPr>
              <w:jc w:val="center"/>
              <w:rPr>
                <w:rFonts w:ascii="Times New Roman" w:hAnsi="Times New Roman"/>
                <w:sz w:val="18"/>
                <w:szCs w:val="18"/>
              </w:rPr>
            </w:pPr>
            <w:r w:rsidRPr="002B2FB5">
              <w:rPr>
                <w:rFonts w:ascii="Times New Roman" w:hAnsi="Times New Roman"/>
                <w:sz w:val="18"/>
                <w:szCs w:val="18"/>
              </w:rPr>
              <w:t>42.4</w:t>
            </w:r>
          </w:p>
        </w:tc>
      </w:tr>
      <w:tr w:rsidR="00C94B87" w:rsidRPr="007131D0" w14:paraId="01F8A243"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auto" w:fill="auto"/>
            <w:vAlign w:val="center"/>
          </w:tcPr>
          <w:p w14:paraId="385B65DF"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4</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255FE212"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Wine producers</w:t>
            </w:r>
          </w:p>
        </w:tc>
        <w:tc>
          <w:tcPr>
            <w:tcW w:w="1000" w:type="pct"/>
          </w:tcPr>
          <w:p w14:paraId="6A70A002"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2B2FB5">
              <w:rPr>
                <w:rFonts w:ascii="Times New Roman" w:hAnsi="Times New Roman"/>
                <w:sz w:val="18"/>
                <w:szCs w:val="18"/>
              </w:rPr>
              <w:t>0.5</w:t>
            </w:r>
          </w:p>
        </w:tc>
        <w:tc>
          <w:tcPr>
            <w:cnfStyle w:val="000010000000" w:firstRow="0" w:lastRow="0" w:firstColumn="0" w:lastColumn="0" w:oddVBand="1" w:evenVBand="0" w:oddHBand="0" w:evenHBand="0" w:firstRowFirstColumn="0" w:firstRowLastColumn="0" w:lastRowFirstColumn="0" w:lastRowLastColumn="0"/>
            <w:tcW w:w="1000" w:type="pct"/>
          </w:tcPr>
          <w:p w14:paraId="7DB753E6" w14:textId="77777777" w:rsidR="00C94B87" w:rsidRPr="007131D0" w:rsidRDefault="00C94B87" w:rsidP="00CE1543">
            <w:pPr>
              <w:jc w:val="center"/>
              <w:rPr>
                <w:rFonts w:ascii="Times New Roman" w:hAnsi="Times New Roman"/>
                <w:sz w:val="18"/>
                <w:szCs w:val="18"/>
              </w:rPr>
            </w:pPr>
            <w:r w:rsidRPr="002B2FB5">
              <w:rPr>
                <w:rFonts w:ascii="Times New Roman" w:hAnsi="Times New Roman"/>
                <w:sz w:val="18"/>
                <w:szCs w:val="18"/>
              </w:rPr>
              <w:t>2.4</w:t>
            </w:r>
          </w:p>
        </w:tc>
        <w:tc>
          <w:tcPr>
            <w:cnfStyle w:val="000100000000" w:firstRow="0" w:lastRow="0" w:firstColumn="0" w:lastColumn="1" w:oddVBand="0" w:evenVBand="0" w:oddHBand="0" w:evenHBand="0" w:firstRowFirstColumn="0" w:firstRowLastColumn="0" w:lastRowFirstColumn="0" w:lastRowLastColumn="0"/>
            <w:tcW w:w="1000" w:type="pct"/>
          </w:tcPr>
          <w:p w14:paraId="7D1AA353" w14:textId="77777777" w:rsidR="00C94B87" w:rsidRPr="002B2FB5" w:rsidRDefault="00C94B87" w:rsidP="00CE1543">
            <w:pPr>
              <w:jc w:val="center"/>
              <w:rPr>
                <w:rFonts w:ascii="Times New Roman" w:hAnsi="Times New Roman"/>
                <w:sz w:val="18"/>
                <w:szCs w:val="18"/>
              </w:rPr>
            </w:pPr>
            <w:r w:rsidRPr="002B2FB5">
              <w:rPr>
                <w:rFonts w:ascii="Times New Roman" w:hAnsi="Times New Roman"/>
                <w:sz w:val="18"/>
                <w:szCs w:val="18"/>
              </w:rPr>
              <w:t>6.8</w:t>
            </w:r>
          </w:p>
        </w:tc>
      </w:tr>
      <w:tr w:rsidR="00C94B87" w:rsidRPr="007131D0" w14:paraId="66C3B6C8" w14:textId="77777777" w:rsidTr="00CE15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000000" w:fill="D9E2F3"/>
            <w:vAlign w:val="center"/>
          </w:tcPr>
          <w:p w14:paraId="3A75A89A"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t>5</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4ED1E1A1"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Soft drink producers</w:t>
            </w:r>
          </w:p>
        </w:tc>
        <w:tc>
          <w:tcPr>
            <w:tcW w:w="1000" w:type="pct"/>
          </w:tcPr>
          <w:p w14:paraId="64C9CB7B" w14:textId="77777777" w:rsidR="00C94B87" w:rsidRPr="007131D0"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2B2FB5">
              <w:rPr>
                <w:rFonts w:ascii="Times New Roman" w:hAnsi="Times New Roman"/>
                <w:sz w:val="18"/>
                <w:szCs w:val="18"/>
              </w:rPr>
              <w:t>1.1</w:t>
            </w:r>
          </w:p>
        </w:tc>
        <w:tc>
          <w:tcPr>
            <w:cnfStyle w:val="000010000000" w:firstRow="0" w:lastRow="0" w:firstColumn="0" w:lastColumn="0" w:oddVBand="1" w:evenVBand="0" w:oddHBand="0" w:evenHBand="0" w:firstRowFirstColumn="0" w:firstRowLastColumn="0" w:lastRowFirstColumn="0" w:lastRowLastColumn="0"/>
            <w:tcW w:w="1000" w:type="pct"/>
          </w:tcPr>
          <w:p w14:paraId="2C902066" w14:textId="77777777" w:rsidR="00C94B87" w:rsidRPr="007131D0" w:rsidRDefault="00C94B87" w:rsidP="00CE1543">
            <w:pPr>
              <w:jc w:val="center"/>
              <w:rPr>
                <w:rFonts w:ascii="Times New Roman" w:hAnsi="Times New Roman"/>
                <w:sz w:val="18"/>
                <w:szCs w:val="18"/>
              </w:rPr>
            </w:pPr>
            <w:r w:rsidRPr="002B2FB5">
              <w:rPr>
                <w:rFonts w:ascii="Times New Roman" w:hAnsi="Times New Roman"/>
                <w:sz w:val="18"/>
                <w:szCs w:val="18"/>
              </w:rPr>
              <w:t>9.8</w:t>
            </w:r>
          </w:p>
        </w:tc>
        <w:tc>
          <w:tcPr>
            <w:cnfStyle w:val="000100000000" w:firstRow="0" w:lastRow="0" w:firstColumn="0" w:lastColumn="1" w:oddVBand="0" w:evenVBand="0" w:oddHBand="0" w:evenHBand="0" w:firstRowFirstColumn="0" w:firstRowLastColumn="0" w:lastRowFirstColumn="0" w:lastRowLastColumn="0"/>
            <w:tcW w:w="1000" w:type="pct"/>
          </w:tcPr>
          <w:p w14:paraId="3037C66B" w14:textId="77777777" w:rsidR="00C94B87" w:rsidRPr="002B2FB5" w:rsidRDefault="00C94B87" w:rsidP="00CE1543">
            <w:pPr>
              <w:jc w:val="center"/>
              <w:rPr>
                <w:rFonts w:ascii="Times New Roman" w:hAnsi="Times New Roman"/>
                <w:sz w:val="18"/>
                <w:szCs w:val="18"/>
              </w:rPr>
            </w:pPr>
            <w:r w:rsidRPr="002B2FB5">
              <w:rPr>
                <w:rFonts w:ascii="Times New Roman" w:hAnsi="Times New Roman"/>
                <w:sz w:val="18"/>
                <w:szCs w:val="18"/>
              </w:rPr>
              <w:t>5.5</w:t>
            </w:r>
          </w:p>
        </w:tc>
      </w:tr>
      <w:tr w:rsidR="00C94B87" w:rsidRPr="007131D0" w14:paraId="6E5AA485" w14:textId="77777777" w:rsidTr="00CE1543">
        <w:trPr>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auto" w:fill="auto"/>
            <w:vAlign w:val="center"/>
          </w:tcPr>
          <w:p w14:paraId="7D481488" w14:textId="77777777" w:rsidR="00C94B87" w:rsidRPr="00366853" w:rsidRDefault="00C94B87" w:rsidP="00CE1543">
            <w:pPr>
              <w:jc w:val="center"/>
              <w:rPr>
                <w:rFonts w:ascii="Times New Roman" w:hAnsi="Times New Roman"/>
                <w:sz w:val="18"/>
                <w:szCs w:val="18"/>
              </w:rPr>
            </w:pPr>
            <w:r w:rsidRPr="007131D0">
              <w:rPr>
                <w:rFonts w:ascii="Times New Roman" w:hAnsi="Times New Roman"/>
                <w:sz w:val="18"/>
                <w:szCs w:val="18"/>
              </w:rPr>
              <w:lastRenderedPageBreak/>
              <w:t>6</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D9E2F3"/>
            <w:vAlign w:val="center"/>
          </w:tcPr>
          <w:p w14:paraId="5148AB9A" w14:textId="77777777" w:rsidR="00C94B87" w:rsidRPr="007131D0" w:rsidRDefault="00C94B87" w:rsidP="00CE1543">
            <w:pPr>
              <w:rPr>
                <w:rFonts w:ascii="Times New Roman" w:hAnsi="Times New Roman"/>
                <w:sz w:val="18"/>
                <w:szCs w:val="18"/>
              </w:rPr>
            </w:pPr>
            <w:r w:rsidRPr="007131D0">
              <w:rPr>
                <w:rFonts w:ascii="Times New Roman" w:hAnsi="Times New Roman"/>
                <w:sz w:val="18"/>
                <w:szCs w:val="18"/>
              </w:rPr>
              <w:t>Public establishments (Museums, Libraries, Concert halls etc.)</w:t>
            </w:r>
          </w:p>
        </w:tc>
        <w:tc>
          <w:tcPr>
            <w:tcW w:w="1000" w:type="pct"/>
          </w:tcPr>
          <w:p w14:paraId="6BEC1912" w14:textId="77777777" w:rsidR="00C94B87" w:rsidRPr="007131D0"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2B2FB5">
              <w:rPr>
                <w:rFonts w:ascii="Times New Roman" w:hAnsi="Times New Roman"/>
                <w:sz w:val="18"/>
                <w:szCs w:val="18"/>
              </w:rPr>
              <w:t>4.7</w:t>
            </w:r>
          </w:p>
        </w:tc>
        <w:tc>
          <w:tcPr>
            <w:cnfStyle w:val="000010000000" w:firstRow="0" w:lastRow="0" w:firstColumn="0" w:lastColumn="0" w:oddVBand="1" w:evenVBand="0" w:oddHBand="0" w:evenHBand="0" w:firstRowFirstColumn="0" w:firstRowLastColumn="0" w:lastRowFirstColumn="0" w:lastRowLastColumn="0"/>
            <w:tcW w:w="1000" w:type="pct"/>
          </w:tcPr>
          <w:p w14:paraId="5B8AB77B" w14:textId="77777777" w:rsidR="00C94B87" w:rsidRPr="007131D0" w:rsidRDefault="00C94B87" w:rsidP="00CE1543">
            <w:pPr>
              <w:jc w:val="center"/>
              <w:rPr>
                <w:rFonts w:ascii="Times New Roman" w:hAnsi="Times New Roman"/>
                <w:sz w:val="18"/>
                <w:szCs w:val="18"/>
              </w:rPr>
            </w:pPr>
            <w:r w:rsidRPr="002B2FB5">
              <w:rPr>
                <w:rFonts w:ascii="Times New Roman" w:hAnsi="Times New Roman"/>
                <w:sz w:val="18"/>
                <w:szCs w:val="18"/>
              </w:rPr>
              <w:t>23.7</w:t>
            </w:r>
          </w:p>
        </w:tc>
        <w:tc>
          <w:tcPr>
            <w:cnfStyle w:val="000100000000" w:firstRow="0" w:lastRow="0" w:firstColumn="0" w:lastColumn="1" w:oddVBand="0" w:evenVBand="0" w:oddHBand="0" w:evenHBand="0" w:firstRowFirstColumn="0" w:firstRowLastColumn="0" w:lastRowFirstColumn="0" w:lastRowLastColumn="0"/>
            <w:tcW w:w="1000" w:type="pct"/>
          </w:tcPr>
          <w:p w14:paraId="73ADD1E8" w14:textId="77777777" w:rsidR="00C94B87" w:rsidRPr="002B2FB5" w:rsidRDefault="00C94B87" w:rsidP="00CE1543">
            <w:pPr>
              <w:jc w:val="center"/>
              <w:rPr>
                <w:rFonts w:ascii="Times New Roman" w:hAnsi="Times New Roman"/>
                <w:sz w:val="18"/>
                <w:szCs w:val="18"/>
              </w:rPr>
            </w:pPr>
            <w:r w:rsidRPr="002B2FB5">
              <w:rPr>
                <w:rFonts w:ascii="Times New Roman" w:hAnsi="Times New Roman"/>
                <w:sz w:val="18"/>
                <w:szCs w:val="18"/>
              </w:rPr>
              <w:t>15.1</w:t>
            </w:r>
          </w:p>
        </w:tc>
      </w:tr>
      <w:tr w:rsidR="00C94B87" w:rsidRPr="007131D0" w14:paraId="12B69FD2" w14:textId="77777777" w:rsidTr="00CE1543">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nil"/>
              <w:left w:val="single" w:sz="8" w:space="0" w:color="8EAADB"/>
              <w:bottom w:val="single" w:sz="8" w:space="0" w:color="8EAADB"/>
              <w:right w:val="single" w:sz="8" w:space="0" w:color="8EAADB"/>
            </w:tcBorders>
            <w:shd w:val="clear" w:color="000000" w:fill="FFC000"/>
            <w:vAlign w:val="center"/>
          </w:tcPr>
          <w:p w14:paraId="26666A3E" w14:textId="77777777" w:rsidR="00C94B87" w:rsidRPr="007131D0" w:rsidRDefault="00C94B87" w:rsidP="00CE1543">
            <w:pPr>
              <w:jc w:val="center"/>
              <w:rPr>
                <w:rFonts w:ascii="Times New Roman" w:hAnsi="Times New Roman"/>
                <w:sz w:val="18"/>
                <w:szCs w:val="18"/>
              </w:rPr>
            </w:pPr>
            <w:r w:rsidRPr="007131D0">
              <w:rPr>
                <w:rFonts w:ascii="Times New Roman" w:hAnsi="Times New Roman"/>
                <w:sz w:val="18"/>
                <w:szCs w:val="18"/>
              </w:rPr>
              <w:t> </w:t>
            </w:r>
          </w:p>
        </w:tc>
        <w:tc>
          <w:tcPr>
            <w:cnfStyle w:val="000010000000" w:firstRow="0" w:lastRow="0" w:firstColumn="0" w:lastColumn="0" w:oddVBand="1" w:evenVBand="0" w:oddHBand="0" w:evenHBand="0" w:firstRowFirstColumn="0" w:firstRowLastColumn="0" w:lastRowFirstColumn="0" w:lastRowLastColumn="0"/>
            <w:tcW w:w="1000" w:type="pct"/>
            <w:tcBorders>
              <w:top w:val="nil"/>
              <w:left w:val="nil"/>
              <w:bottom w:val="single" w:sz="8" w:space="0" w:color="8EAADB"/>
              <w:right w:val="single" w:sz="8" w:space="0" w:color="8EAADB"/>
            </w:tcBorders>
            <w:shd w:val="clear" w:color="000000" w:fill="FFC000"/>
            <w:vAlign w:val="center"/>
          </w:tcPr>
          <w:p w14:paraId="4206A3F7" w14:textId="77777777" w:rsidR="00C94B87" w:rsidRPr="007131D0" w:rsidRDefault="00C94B87" w:rsidP="00CE1543">
            <w:pPr>
              <w:jc w:val="right"/>
              <w:rPr>
                <w:rFonts w:ascii="Times New Roman" w:hAnsi="Times New Roman"/>
                <w:sz w:val="18"/>
                <w:szCs w:val="18"/>
              </w:rPr>
            </w:pPr>
            <w:r w:rsidRPr="007131D0">
              <w:rPr>
                <w:rFonts w:ascii="Times New Roman" w:hAnsi="Times New Roman"/>
                <w:sz w:val="18"/>
                <w:szCs w:val="18"/>
              </w:rPr>
              <w:t>Total in 202</w:t>
            </w:r>
            <w:r>
              <w:rPr>
                <w:rFonts w:ascii="Times New Roman" w:hAnsi="Times New Roman"/>
                <w:sz w:val="18"/>
                <w:szCs w:val="18"/>
              </w:rPr>
              <w:t>3</w:t>
            </w:r>
          </w:p>
        </w:tc>
        <w:tc>
          <w:tcPr>
            <w:tcW w:w="1000" w:type="pct"/>
            <w:shd w:val="clear" w:color="auto" w:fill="FFC000"/>
          </w:tcPr>
          <w:p w14:paraId="13CD1399" w14:textId="77777777" w:rsidR="00C94B87" w:rsidRPr="002B2FB5" w:rsidRDefault="00C94B87" w:rsidP="00CE154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 w:val="18"/>
                <w:szCs w:val="18"/>
              </w:rPr>
            </w:pPr>
            <w:r w:rsidRPr="002B2FB5">
              <w:rPr>
                <w:rFonts w:ascii="Times New Roman" w:hAnsi="Times New Roman"/>
                <w:sz w:val="18"/>
                <w:szCs w:val="18"/>
              </w:rPr>
              <w:t>15.6</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FFC000"/>
          </w:tcPr>
          <w:p w14:paraId="3D759865" w14:textId="77777777" w:rsidR="00C94B87" w:rsidRPr="002B2FB5" w:rsidRDefault="00C94B87" w:rsidP="00CE1543">
            <w:pPr>
              <w:jc w:val="center"/>
              <w:rPr>
                <w:rFonts w:ascii="Times New Roman" w:hAnsi="Times New Roman"/>
                <w:sz w:val="18"/>
                <w:szCs w:val="18"/>
              </w:rPr>
            </w:pPr>
            <w:r w:rsidRPr="002B2FB5">
              <w:rPr>
                <w:rFonts w:ascii="Times New Roman" w:hAnsi="Times New Roman"/>
                <w:sz w:val="18"/>
                <w:szCs w:val="18"/>
              </w:rPr>
              <w:t>174.2</w:t>
            </w:r>
          </w:p>
        </w:tc>
        <w:tc>
          <w:tcPr>
            <w:cnfStyle w:val="000100000000" w:firstRow="0" w:lastRow="0" w:firstColumn="0" w:lastColumn="1" w:oddVBand="0" w:evenVBand="0" w:oddHBand="0" w:evenHBand="0" w:firstRowFirstColumn="0" w:firstRowLastColumn="0" w:lastRowFirstColumn="0" w:lastRowLastColumn="0"/>
            <w:tcW w:w="1000" w:type="pct"/>
            <w:shd w:val="clear" w:color="auto" w:fill="FFC000"/>
          </w:tcPr>
          <w:p w14:paraId="63641CED" w14:textId="77777777" w:rsidR="00C94B87" w:rsidRPr="002B2FB5" w:rsidRDefault="00C94B87" w:rsidP="00CE1543">
            <w:pPr>
              <w:jc w:val="center"/>
              <w:rPr>
                <w:rFonts w:ascii="Times New Roman" w:hAnsi="Times New Roman"/>
                <w:sz w:val="18"/>
                <w:szCs w:val="18"/>
              </w:rPr>
            </w:pPr>
            <w:r w:rsidRPr="002B2FB5">
              <w:rPr>
                <w:rFonts w:ascii="Times New Roman" w:hAnsi="Times New Roman"/>
                <w:sz w:val="18"/>
                <w:szCs w:val="18"/>
              </w:rPr>
              <w:t>138.1</w:t>
            </w:r>
          </w:p>
        </w:tc>
      </w:tr>
    </w:tbl>
    <w:p w14:paraId="683589EC" w14:textId="77777777" w:rsidR="00C94B87" w:rsidRPr="00C94B87" w:rsidRDefault="00C94B87" w:rsidP="00C94B87"/>
    <w:p w14:paraId="067F31E5" w14:textId="77777777" w:rsidR="00366853" w:rsidRPr="00366853" w:rsidRDefault="00366853" w:rsidP="00366853">
      <w:pPr>
        <w:spacing w:before="120"/>
        <w:rPr>
          <w:i/>
          <w:iCs/>
          <w:sz w:val="18"/>
          <w:szCs w:val="18"/>
        </w:rPr>
      </w:pPr>
      <w:r w:rsidRPr="00366853">
        <w:rPr>
          <w:i/>
          <w:iCs/>
          <w:sz w:val="18"/>
          <w:szCs w:val="18"/>
        </w:rPr>
        <w:t xml:space="preserve">* </w:t>
      </w:r>
      <w:proofErr w:type="gramStart"/>
      <w:r w:rsidRPr="00366853">
        <w:rPr>
          <w:i/>
          <w:iCs/>
          <w:sz w:val="18"/>
          <w:szCs w:val="18"/>
        </w:rPr>
        <w:t>data</w:t>
      </w:r>
      <w:proofErr w:type="gramEnd"/>
      <w:r w:rsidRPr="00366853">
        <w:rPr>
          <w:i/>
          <w:iCs/>
          <w:sz w:val="18"/>
          <w:szCs w:val="18"/>
        </w:rPr>
        <w:t xml:space="preserve"> on the quantities of refrigerants by blend types is not available. They are imported under the same customs code that make it impossible to distinguish blend types.</w:t>
      </w:r>
    </w:p>
    <w:p w14:paraId="58A9E419" w14:textId="77777777" w:rsidR="00366853" w:rsidRPr="00366853" w:rsidRDefault="00366853" w:rsidP="00366853">
      <w:pPr>
        <w:spacing w:before="120"/>
        <w:rPr>
          <w:bCs/>
        </w:rPr>
      </w:pPr>
      <w:r w:rsidRPr="00366853">
        <w:t xml:space="preserve">It was impossible to collect accurate data on the refrigerant consumption for 2020 due to the </w:t>
      </w:r>
      <w:r w:rsidRPr="00366853">
        <w:rPr>
          <w:bCs/>
        </w:rPr>
        <w:t xml:space="preserve">COVID-19 lockdown in Georgia. </w:t>
      </w:r>
      <w:proofErr w:type="gramStart"/>
      <w:r w:rsidRPr="00366853">
        <w:rPr>
          <w:bCs/>
        </w:rPr>
        <w:t>The majority of</w:t>
      </w:r>
      <w:proofErr w:type="gramEnd"/>
      <w:r w:rsidRPr="00366853">
        <w:rPr>
          <w:bCs/>
        </w:rPr>
        <w:t xml:space="preserve"> respondents of questionnaire survey said that they did not use refrigerants in 2020, while according to the sellers’ information about 22.5MT of HCFC-22 was put on the market last year. Therefore, it is very important to introduce an electronic reporting system on time and limit the sale of refrigerants to uncertified technicians.</w:t>
      </w:r>
    </w:p>
    <w:p w14:paraId="08A07EFC" w14:textId="77777777" w:rsidR="00366853" w:rsidRPr="00366853" w:rsidRDefault="00366853" w:rsidP="00366853">
      <w:pPr>
        <w:spacing w:before="120"/>
      </w:pPr>
      <w:r w:rsidRPr="00366853">
        <w:t xml:space="preserve">As mentioned above, there are still many commercial, industrial and transport-based RAC equipment in Georgia that uses HCFC-22. The HCFC installations operate in food industry, hotels, hospitals etc. One of the largest segments of HCFC-22 equipment is air conditioners (window, split systems, etc.). Split air conditioners are used for domestic purposes for comfort cooling in summertime and for heating in fall to mild wintertime. Refrigerant charge is small in such units – around 0.8kg but the number of units is still large in the country and the frequency of their service is also high, so according to the information received from the service companies/individual technicians up to 10MT of HCFC-22 were used in 2016-2020 in this </w:t>
      </w:r>
      <w:proofErr w:type="gramStart"/>
      <w:r w:rsidRPr="00366853">
        <w:t>particular subsector</w:t>
      </w:r>
      <w:proofErr w:type="gramEnd"/>
      <w:r w:rsidRPr="00366853">
        <w:t xml:space="preserve">. </w:t>
      </w:r>
    </w:p>
    <w:p w14:paraId="10342C3E" w14:textId="77777777" w:rsidR="00366853" w:rsidRDefault="00366853" w:rsidP="00366853">
      <w:pPr>
        <w:spacing w:before="120"/>
      </w:pPr>
      <w:r w:rsidRPr="00366853">
        <w:t>Chillers mainly represent the industrial air conditioning sub-sector. They are used to ensure the required air quality in hospitals and pharmaceutical production, at television and radio studios, at catering establishments, etc. Unfortunately, the installations are old and they need frequent repairs including refill.</w:t>
      </w:r>
    </w:p>
    <w:p w14:paraId="3414282C" w14:textId="77777777" w:rsidR="00A62442" w:rsidRPr="00366853" w:rsidRDefault="00A62442" w:rsidP="00366853">
      <w:pPr>
        <w:spacing w:before="120"/>
      </w:pPr>
    </w:p>
    <w:p w14:paraId="3C91FDD2" w14:textId="77777777" w:rsidR="00366853" w:rsidRPr="00366853" w:rsidRDefault="00366853" w:rsidP="00366853">
      <w:r w:rsidRPr="00366853">
        <w:t>Direct refrigeration systems provide temperature and humidity conditions of refrigerated rooms, trade cabinets and display-cases in the retail refrigeration and food production subsector. Some of them are factory-made but many are hand-made with the re-profiling of refrigeration units of window-type air conditioners for retail uses, and as it is noted above the introduction of such units was also facilitated by the previous projects carried out under the Montreal Protocol for transferring installations from CFC-12 to HCFCs. Cooling capacity of such kind of refrigeration systems is in range 3÷185kW and refrigerant charge 3÷150kg.</w:t>
      </w:r>
    </w:p>
    <w:p w14:paraId="47C33D13" w14:textId="77777777" w:rsidR="00366853" w:rsidRPr="00366853" w:rsidRDefault="00366853" w:rsidP="00366853">
      <w:pPr>
        <w:spacing w:before="120"/>
      </w:pPr>
      <w:r w:rsidRPr="00366853">
        <w:t>A typical HCFC-22 charge in a refrigeration system of the transport, for example, used for transportation of medicines at controlled temperature, is about 6 kg per unit. Although there are already few HCFC refrigerated trucks in operation in the country today and their number is gradually decreasing due to the high cost of their maintenance. An approximate estimate of HCFC-22 consumption by different sub-sectors depending on the installed capacity of refrigeration system is provided in table below.</w:t>
      </w:r>
    </w:p>
    <w:p w14:paraId="280AEF4D" w14:textId="77777777" w:rsidR="00366853" w:rsidRPr="00366853" w:rsidRDefault="00366853" w:rsidP="00366853">
      <w:pPr>
        <w:pStyle w:val="Caption"/>
        <w:spacing w:before="120"/>
      </w:pPr>
      <w:r w:rsidRPr="00366853">
        <w:t>Table 7: Estimation of HCFC-22 consumption depending on installed capacity*</w:t>
      </w:r>
    </w:p>
    <w:tbl>
      <w:tblPr>
        <w:tblStyle w:val="GridTable4-Accent1"/>
        <w:tblW w:w="5000" w:type="pct"/>
        <w:tblLook w:val="01E0" w:firstRow="1" w:lastRow="1" w:firstColumn="1" w:lastColumn="1" w:noHBand="0" w:noVBand="0"/>
      </w:tblPr>
      <w:tblGrid>
        <w:gridCol w:w="2849"/>
        <w:gridCol w:w="2437"/>
        <w:gridCol w:w="2437"/>
        <w:gridCol w:w="2437"/>
      </w:tblGrid>
      <w:tr w:rsidR="00366853" w:rsidRPr="00366853" w14:paraId="522F227C" w14:textId="77777777" w:rsidTr="0047659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pct"/>
          </w:tcPr>
          <w:p w14:paraId="468B17F1"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Sub-sector</w:t>
            </w:r>
          </w:p>
        </w:tc>
        <w:tc>
          <w:tcPr>
            <w:cnfStyle w:val="000010000000" w:firstRow="0" w:lastRow="0" w:firstColumn="0" w:lastColumn="0" w:oddVBand="1" w:evenVBand="0" w:oddHBand="0" w:evenHBand="0" w:firstRowFirstColumn="0" w:firstRowLastColumn="0" w:lastRowFirstColumn="0" w:lastRowLastColumn="0"/>
            <w:tcW w:w="0" w:type="pct"/>
          </w:tcPr>
          <w:p w14:paraId="61225084"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Estimated number of units</w:t>
            </w:r>
          </w:p>
        </w:tc>
        <w:tc>
          <w:tcPr>
            <w:tcW w:w="0" w:type="pct"/>
          </w:tcPr>
          <w:p w14:paraId="7C77BB3B" w14:textId="77777777" w:rsidR="00366853" w:rsidRPr="00366853" w:rsidRDefault="00366853" w:rsidP="0047659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66853">
              <w:rPr>
                <w:rFonts w:ascii="Times New Roman" w:hAnsi="Times New Roman" w:cs="Times New Roman"/>
                <w:sz w:val="18"/>
                <w:szCs w:val="18"/>
              </w:rPr>
              <w:t>Estimated number of units totally refilled and/or topped up per year</w:t>
            </w:r>
          </w:p>
        </w:tc>
        <w:tc>
          <w:tcPr>
            <w:cnfStyle w:val="000100000000" w:firstRow="0" w:lastRow="0" w:firstColumn="0" w:lastColumn="1" w:oddVBand="0" w:evenVBand="0" w:oddHBand="0" w:evenHBand="0" w:firstRowFirstColumn="0" w:firstRowLastColumn="0" w:lastRowFirstColumn="0" w:lastRowLastColumn="0"/>
            <w:tcW w:w="0" w:type="pct"/>
          </w:tcPr>
          <w:p w14:paraId="1856BA20"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Estimated total HCFC use in MT</w:t>
            </w:r>
          </w:p>
        </w:tc>
      </w:tr>
      <w:tr w:rsidR="00366853" w:rsidRPr="00366853" w14:paraId="481CEE42" w14:textId="77777777" w:rsidTr="0047659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pct"/>
          </w:tcPr>
          <w:p w14:paraId="754AC61C"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Commercial refrigeration</w:t>
            </w:r>
          </w:p>
        </w:tc>
        <w:tc>
          <w:tcPr>
            <w:cnfStyle w:val="000010000000" w:firstRow="0" w:lastRow="0" w:firstColumn="0" w:lastColumn="0" w:oddVBand="1" w:evenVBand="0" w:oddHBand="0" w:evenHBand="0" w:firstRowFirstColumn="0" w:firstRowLastColumn="0" w:lastRowFirstColumn="0" w:lastRowLastColumn="0"/>
            <w:tcW w:w="0" w:type="pct"/>
          </w:tcPr>
          <w:p w14:paraId="509F22EC"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20,300</w:t>
            </w:r>
          </w:p>
        </w:tc>
        <w:tc>
          <w:tcPr>
            <w:tcW w:w="0" w:type="pct"/>
          </w:tcPr>
          <w:p w14:paraId="040B903B" w14:textId="77777777" w:rsidR="00366853" w:rsidRPr="00366853" w:rsidRDefault="00366853" w:rsidP="004765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66853">
              <w:rPr>
                <w:rFonts w:ascii="Times New Roman" w:hAnsi="Times New Roman" w:cs="Times New Roman"/>
                <w:sz w:val="18"/>
                <w:szCs w:val="18"/>
              </w:rPr>
              <w:t>6,090</w:t>
            </w:r>
          </w:p>
        </w:tc>
        <w:tc>
          <w:tcPr>
            <w:cnfStyle w:val="000100000000" w:firstRow="0" w:lastRow="0" w:firstColumn="0" w:lastColumn="1" w:oddVBand="0" w:evenVBand="0" w:oddHBand="0" w:evenHBand="0" w:firstRowFirstColumn="0" w:firstRowLastColumn="0" w:lastRowFirstColumn="0" w:lastRowLastColumn="0"/>
            <w:tcW w:w="0" w:type="pct"/>
          </w:tcPr>
          <w:p w14:paraId="4AA8C867"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13.4</w:t>
            </w:r>
          </w:p>
        </w:tc>
      </w:tr>
      <w:tr w:rsidR="00366853" w:rsidRPr="00366853" w14:paraId="4E3552D9" w14:textId="77777777" w:rsidTr="00476592">
        <w:trPr>
          <w:trHeight w:val="227"/>
        </w:trPr>
        <w:tc>
          <w:tcPr>
            <w:cnfStyle w:val="001000000000" w:firstRow="0" w:lastRow="0" w:firstColumn="1" w:lastColumn="0" w:oddVBand="0" w:evenVBand="0" w:oddHBand="0" w:evenHBand="0" w:firstRowFirstColumn="0" w:firstRowLastColumn="0" w:lastRowFirstColumn="0" w:lastRowLastColumn="0"/>
            <w:tcW w:w="0" w:type="pct"/>
          </w:tcPr>
          <w:p w14:paraId="18ED47D3"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Split and unitary A/C systems</w:t>
            </w:r>
          </w:p>
        </w:tc>
        <w:tc>
          <w:tcPr>
            <w:cnfStyle w:val="000010000000" w:firstRow="0" w:lastRow="0" w:firstColumn="0" w:lastColumn="0" w:oddVBand="1" w:evenVBand="0" w:oddHBand="0" w:evenHBand="0" w:firstRowFirstColumn="0" w:firstRowLastColumn="0" w:lastRowFirstColumn="0" w:lastRowLastColumn="0"/>
            <w:tcW w:w="0" w:type="pct"/>
          </w:tcPr>
          <w:p w14:paraId="61E92811"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28,000</w:t>
            </w:r>
          </w:p>
        </w:tc>
        <w:tc>
          <w:tcPr>
            <w:tcW w:w="0" w:type="pct"/>
          </w:tcPr>
          <w:p w14:paraId="48B2F9C7" w14:textId="77777777" w:rsidR="00366853" w:rsidRPr="00366853" w:rsidRDefault="00366853" w:rsidP="004765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66853">
              <w:rPr>
                <w:rFonts w:ascii="Times New Roman" w:hAnsi="Times New Roman" w:cs="Times New Roman"/>
                <w:sz w:val="18"/>
                <w:szCs w:val="18"/>
              </w:rPr>
              <w:t>5,733</w:t>
            </w:r>
          </w:p>
        </w:tc>
        <w:tc>
          <w:tcPr>
            <w:cnfStyle w:val="000100000000" w:firstRow="0" w:lastRow="0" w:firstColumn="0" w:lastColumn="1" w:oddVBand="0" w:evenVBand="0" w:oddHBand="0" w:evenHBand="0" w:firstRowFirstColumn="0" w:firstRowLastColumn="0" w:lastRowFirstColumn="0" w:lastRowLastColumn="0"/>
            <w:tcW w:w="0" w:type="pct"/>
          </w:tcPr>
          <w:p w14:paraId="15252CD3"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8.6</w:t>
            </w:r>
          </w:p>
        </w:tc>
      </w:tr>
      <w:tr w:rsidR="00366853" w:rsidRPr="00366853" w14:paraId="36ADFCA9" w14:textId="77777777" w:rsidTr="0047659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pct"/>
          </w:tcPr>
          <w:p w14:paraId="6EB83183"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Industrial/Cold stories</w:t>
            </w:r>
          </w:p>
        </w:tc>
        <w:tc>
          <w:tcPr>
            <w:cnfStyle w:val="000010000000" w:firstRow="0" w:lastRow="0" w:firstColumn="0" w:lastColumn="0" w:oddVBand="1" w:evenVBand="0" w:oddHBand="0" w:evenHBand="0" w:firstRowFirstColumn="0" w:firstRowLastColumn="0" w:lastRowFirstColumn="0" w:lastRowLastColumn="0"/>
            <w:tcW w:w="0" w:type="pct"/>
          </w:tcPr>
          <w:p w14:paraId="2B5050E6"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3,900</w:t>
            </w:r>
          </w:p>
        </w:tc>
        <w:tc>
          <w:tcPr>
            <w:tcW w:w="0" w:type="pct"/>
          </w:tcPr>
          <w:p w14:paraId="433C4705" w14:textId="77777777" w:rsidR="00366853" w:rsidRPr="00366853" w:rsidRDefault="00366853" w:rsidP="004765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66853">
              <w:rPr>
                <w:rFonts w:ascii="Times New Roman" w:hAnsi="Times New Roman" w:cs="Times New Roman"/>
                <w:sz w:val="18"/>
                <w:szCs w:val="18"/>
              </w:rPr>
              <w:t>975</w:t>
            </w:r>
          </w:p>
        </w:tc>
        <w:tc>
          <w:tcPr>
            <w:cnfStyle w:val="000100000000" w:firstRow="0" w:lastRow="0" w:firstColumn="0" w:lastColumn="1" w:oddVBand="0" w:evenVBand="0" w:oddHBand="0" w:evenHBand="0" w:firstRowFirstColumn="0" w:firstRowLastColumn="0" w:lastRowFirstColumn="0" w:lastRowLastColumn="0"/>
            <w:tcW w:w="0" w:type="pct"/>
          </w:tcPr>
          <w:p w14:paraId="7A7D5EE2"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15.6</w:t>
            </w:r>
          </w:p>
        </w:tc>
      </w:tr>
      <w:tr w:rsidR="00366853" w:rsidRPr="00366853" w14:paraId="30856821" w14:textId="77777777" w:rsidTr="00476592">
        <w:trPr>
          <w:trHeight w:val="227"/>
        </w:trPr>
        <w:tc>
          <w:tcPr>
            <w:cnfStyle w:val="001000000000" w:firstRow="0" w:lastRow="0" w:firstColumn="1" w:lastColumn="0" w:oddVBand="0" w:evenVBand="0" w:oddHBand="0" w:evenHBand="0" w:firstRowFirstColumn="0" w:firstRowLastColumn="0" w:lastRowFirstColumn="0" w:lastRowLastColumn="0"/>
            <w:tcW w:w="0" w:type="pct"/>
          </w:tcPr>
          <w:p w14:paraId="4BC2C346"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Chillers</w:t>
            </w:r>
          </w:p>
        </w:tc>
        <w:tc>
          <w:tcPr>
            <w:cnfStyle w:val="000010000000" w:firstRow="0" w:lastRow="0" w:firstColumn="0" w:lastColumn="0" w:oddVBand="1" w:evenVBand="0" w:oddHBand="0" w:evenHBand="0" w:firstRowFirstColumn="0" w:firstRowLastColumn="0" w:lastRowFirstColumn="0" w:lastRowLastColumn="0"/>
            <w:tcW w:w="0" w:type="pct"/>
          </w:tcPr>
          <w:p w14:paraId="09CA3325"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200</w:t>
            </w:r>
          </w:p>
        </w:tc>
        <w:tc>
          <w:tcPr>
            <w:tcW w:w="0" w:type="pct"/>
          </w:tcPr>
          <w:p w14:paraId="2D18B655" w14:textId="77777777" w:rsidR="00366853" w:rsidRPr="00366853" w:rsidRDefault="00366853" w:rsidP="004765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66853">
              <w:rPr>
                <w:rFonts w:ascii="Times New Roman" w:hAnsi="Times New Roman" w:cs="Times New Roman"/>
                <w:sz w:val="18"/>
                <w:szCs w:val="18"/>
              </w:rPr>
              <w:t>65</w:t>
            </w:r>
          </w:p>
        </w:tc>
        <w:tc>
          <w:tcPr>
            <w:cnfStyle w:val="000100000000" w:firstRow="0" w:lastRow="0" w:firstColumn="0" w:lastColumn="1" w:oddVBand="0" w:evenVBand="0" w:oddHBand="0" w:evenHBand="0" w:firstRowFirstColumn="0" w:firstRowLastColumn="0" w:lastRowFirstColumn="0" w:lastRowLastColumn="0"/>
            <w:tcW w:w="0" w:type="pct"/>
          </w:tcPr>
          <w:p w14:paraId="2817B4F2"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6.0</w:t>
            </w:r>
          </w:p>
        </w:tc>
      </w:tr>
      <w:tr w:rsidR="00366853" w:rsidRPr="00366853" w14:paraId="4DCF6EAD" w14:textId="77777777" w:rsidTr="00476592">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pct"/>
          </w:tcPr>
          <w:p w14:paraId="08F88705"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Total:</w:t>
            </w:r>
          </w:p>
        </w:tc>
        <w:tc>
          <w:tcPr>
            <w:cnfStyle w:val="000010000000" w:firstRow="0" w:lastRow="0" w:firstColumn="0" w:lastColumn="0" w:oddVBand="1" w:evenVBand="0" w:oddHBand="0" w:evenHBand="0" w:firstRowFirstColumn="0" w:firstRowLastColumn="0" w:lastRowFirstColumn="0" w:lastRowLastColumn="0"/>
            <w:tcW w:w="0" w:type="pct"/>
          </w:tcPr>
          <w:p w14:paraId="416073CD" w14:textId="77777777" w:rsidR="00366853" w:rsidRPr="00366853" w:rsidRDefault="00366853" w:rsidP="00476592">
            <w:pPr>
              <w:rPr>
                <w:rFonts w:ascii="Times New Roman" w:eastAsia="Times New Roman" w:hAnsi="Times New Roman" w:cs="Times New Roman"/>
                <w:sz w:val="18"/>
                <w:szCs w:val="18"/>
              </w:rPr>
            </w:pPr>
          </w:p>
        </w:tc>
        <w:tc>
          <w:tcPr>
            <w:tcW w:w="0" w:type="pct"/>
          </w:tcPr>
          <w:p w14:paraId="2C476706" w14:textId="77777777" w:rsidR="00366853" w:rsidRPr="00366853" w:rsidRDefault="00366853" w:rsidP="00476592">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cnfStyle w:val="000100000000" w:firstRow="0" w:lastRow="0" w:firstColumn="0" w:lastColumn="1" w:oddVBand="0" w:evenVBand="0" w:oddHBand="0" w:evenHBand="0" w:firstRowFirstColumn="0" w:firstRowLastColumn="0" w:lastRowFirstColumn="0" w:lastRowLastColumn="0"/>
            <w:tcW w:w="0" w:type="pct"/>
          </w:tcPr>
          <w:p w14:paraId="4A482C11" w14:textId="77777777" w:rsidR="00366853" w:rsidRPr="00366853" w:rsidRDefault="00366853" w:rsidP="00476592">
            <w:pPr>
              <w:rPr>
                <w:rFonts w:ascii="Times New Roman" w:eastAsia="Times New Roman" w:hAnsi="Times New Roman" w:cs="Times New Roman"/>
                <w:sz w:val="18"/>
                <w:szCs w:val="18"/>
              </w:rPr>
            </w:pPr>
            <w:r w:rsidRPr="00366853">
              <w:rPr>
                <w:rFonts w:ascii="Times New Roman" w:hAnsi="Times New Roman" w:cs="Times New Roman"/>
                <w:sz w:val="18"/>
                <w:szCs w:val="18"/>
              </w:rPr>
              <w:t>43.6</w:t>
            </w:r>
          </w:p>
        </w:tc>
      </w:tr>
    </w:tbl>
    <w:p w14:paraId="29D5CF45" w14:textId="77777777" w:rsidR="00366853" w:rsidRPr="00366853" w:rsidRDefault="00366853" w:rsidP="00366853">
      <w:pPr>
        <w:rPr>
          <w:i/>
          <w:sz w:val="18"/>
          <w:szCs w:val="18"/>
        </w:rPr>
      </w:pPr>
      <w:r w:rsidRPr="00366853">
        <w:rPr>
          <w:i/>
          <w:sz w:val="18"/>
          <w:szCs w:val="18"/>
        </w:rPr>
        <w:t xml:space="preserve">*The study was </w:t>
      </w:r>
      <w:proofErr w:type="gramStart"/>
      <w:r w:rsidRPr="00366853">
        <w:rPr>
          <w:i/>
          <w:sz w:val="18"/>
          <w:szCs w:val="18"/>
        </w:rPr>
        <w:t>conducted  by</w:t>
      </w:r>
      <w:proofErr w:type="gramEnd"/>
      <w:r w:rsidRPr="00366853">
        <w:rPr>
          <w:i/>
          <w:sz w:val="18"/>
          <w:szCs w:val="18"/>
        </w:rPr>
        <w:t xml:space="preserve"> the Georgian Association of Refrigerating, Cryogenic and Air conditioning Engineers NGO in 2019</w:t>
      </w:r>
    </w:p>
    <w:p w14:paraId="067A37F3" w14:textId="6894E7D4" w:rsidR="00366853" w:rsidRPr="00366853" w:rsidRDefault="00366853" w:rsidP="00366853">
      <w:pPr>
        <w:spacing w:before="120"/>
      </w:pPr>
      <w:r w:rsidRPr="00366853">
        <w:t xml:space="preserve">Regarding the service of the HCFC-22 installations, there are three types of end-user groups that have been identified during the survey: </w:t>
      </w:r>
      <w:proofErr w:type="spellStart"/>
      <w:r w:rsidRPr="00366853">
        <w:t>i</w:t>
      </w:r>
      <w:proofErr w:type="spellEnd"/>
      <w:r w:rsidRPr="00366853">
        <w:t>) End-users which have their own certified technicians, ii) End-users which have a long-term contract with an external RAC service company, and iii) End-users using the services of randomly selected technicians, being the largest risk zone in terms of ODS emissions into the atmosphere.</w:t>
      </w:r>
    </w:p>
    <w:p w14:paraId="19C11D54" w14:textId="77777777" w:rsidR="00366853" w:rsidRPr="00366853" w:rsidRDefault="00366853" w:rsidP="00366853">
      <w:pPr>
        <w:spacing w:before="120"/>
      </w:pPr>
      <w:r w:rsidRPr="00366853">
        <w:lastRenderedPageBreak/>
        <w:t>Further, the national phase-out of HCFC-22 has been determined as largely dependent on market prices for it and its alternatives. The current prices for refrigerants are presented in table 8 below.</w:t>
      </w:r>
    </w:p>
    <w:p w14:paraId="002B72A3" w14:textId="77777777" w:rsidR="00C94B87" w:rsidRDefault="00C94B87" w:rsidP="00366853">
      <w:pPr>
        <w:pStyle w:val="Caption"/>
      </w:pPr>
    </w:p>
    <w:p w14:paraId="1C9B47CF" w14:textId="0557143C" w:rsidR="00366853" w:rsidRDefault="00366853" w:rsidP="00C94B87">
      <w:pPr>
        <w:pStyle w:val="Caption"/>
      </w:pPr>
      <w:r w:rsidRPr="00C94B87">
        <w:t xml:space="preserve">Table 8: Prices for </w:t>
      </w:r>
      <w:proofErr w:type="gramStart"/>
      <w:r w:rsidRPr="00C94B87">
        <w:t>refrigerants</w:t>
      </w:r>
      <w:r w:rsidR="00A015CB">
        <w:t xml:space="preserve"> </w:t>
      </w:r>
      <w:r w:rsidRPr="00366853">
        <w:t xml:space="preserve"> </w:t>
      </w:r>
      <w:r w:rsidR="005764CE">
        <w:t>in</w:t>
      </w:r>
      <w:proofErr w:type="gramEnd"/>
      <w:r w:rsidR="005764CE">
        <w:t xml:space="preserve"> USD</w:t>
      </w:r>
    </w:p>
    <w:tbl>
      <w:tblPr>
        <w:tblStyle w:val="GridTable4-Accent1"/>
        <w:tblW w:w="5088" w:type="pct"/>
        <w:tblLook w:val="04A0" w:firstRow="1" w:lastRow="0" w:firstColumn="1" w:lastColumn="0" w:noHBand="0" w:noVBand="1"/>
      </w:tblPr>
      <w:tblGrid>
        <w:gridCol w:w="394"/>
        <w:gridCol w:w="2080"/>
        <w:gridCol w:w="1024"/>
        <w:gridCol w:w="974"/>
        <w:gridCol w:w="972"/>
        <w:gridCol w:w="997"/>
        <w:gridCol w:w="1075"/>
        <w:gridCol w:w="945"/>
        <w:gridCol w:w="974"/>
        <w:gridCol w:w="904"/>
      </w:tblGrid>
      <w:tr w:rsidR="00C94B87" w:rsidRPr="00366853" w14:paraId="6FB82119" w14:textId="77777777" w:rsidTr="00CE1543">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0" w:type="pct"/>
          </w:tcPr>
          <w:p w14:paraId="7D44B690" w14:textId="77777777" w:rsidR="00C94B87" w:rsidRPr="00366853" w:rsidRDefault="00C94B87" w:rsidP="00CE1543">
            <w:pPr>
              <w:jc w:val="center"/>
              <w:rPr>
                <w:rFonts w:ascii="Times New Roman" w:hAnsi="Times New Roman"/>
                <w:sz w:val="18"/>
                <w:szCs w:val="18"/>
              </w:rPr>
            </w:pPr>
            <w:r w:rsidRPr="00366853">
              <w:rPr>
                <w:rFonts w:ascii="Times New Roman" w:hAnsi="Times New Roman"/>
                <w:sz w:val="18"/>
                <w:szCs w:val="18"/>
              </w:rPr>
              <w:t>#</w:t>
            </w:r>
          </w:p>
        </w:tc>
        <w:tc>
          <w:tcPr>
            <w:tcW w:w="1006" w:type="pct"/>
          </w:tcPr>
          <w:p w14:paraId="501CA673"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Refrigerant</w:t>
            </w:r>
          </w:p>
        </w:tc>
        <w:tc>
          <w:tcPr>
            <w:tcW w:w="495" w:type="pct"/>
          </w:tcPr>
          <w:p w14:paraId="762A7898"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2016</w:t>
            </w:r>
          </w:p>
        </w:tc>
        <w:tc>
          <w:tcPr>
            <w:tcW w:w="471" w:type="pct"/>
            <w:tcBorders>
              <w:right w:val="single" w:sz="4" w:space="0" w:color="auto"/>
            </w:tcBorders>
          </w:tcPr>
          <w:p w14:paraId="566151DC"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2017</w:t>
            </w:r>
          </w:p>
        </w:tc>
        <w:tc>
          <w:tcPr>
            <w:tcW w:w="470" w:type="pct"/>
            <w:tcBorders>
              <w:right w:val="single" w:sz="4" w:space="0" w:color="auto"/>
            </w:tcBorders>
          </w:tcPr>
          <w:p w14:paraId="6E8E3B76"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8"/>
                <w:szCs w:val="18"/>
              </w:rPr>
            </w:pPr>
            <w:r w:rsidRPr="00366853">
              <w:rPr>
                <w:rFonts w:ascii="Times New Roman" w:hAnsi="Times New Roman"/>
                <w:sz w:val="18"/>
                <w:szCs w:val="18"/>
              </w:rPr>
              <w:t>2018</w:t>
            </w:r>
          </w:p>
        </w:tc>
        <w:tc>
          <w:tcPr>
            <w:tcW w:w="482" w:type="pct"/>
            <w:tcBorders>
              <w:right w:val="single" w:sz="4" w:space="0" w:color="auto"/>
            </w:tcBorders>
          </w:tcPr>
          <w:p w14:paraId="618C1633"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8"/>
                <w:szCs w:val="18"/>
              </w:rPr>
            </w:pPr>
            <w:r w:rsidRPr="00366853">
              <w:rPr>
                <w:rFonts w:ascii="Times New Roman" w:hAnsi="Times New Roman"/>
                <w:sz w:val="18"/>
                <w:szCs w:val="18"/>
              </w:rPr>
              <w:t>2019</w:t>
            </w:r>
          </w:p>
        </w:tc>
        <w:tc>
          <w:tcPr>
            <w:tcW w:w="520" w:type="pct"/>
            <w:tcBorders>
              <w:right w:val="single" w:sz="4" w:space="0" w:color="auto"/>
            </w:tcBorders>
          </w:tcPr>
          <w:p w14:paraId="563C97F0"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8"/>
                <w:szCs w:val="18"/>
              </w:rPr>
            </w:pPr>
            <w:r w:rsidRPr="00366853">
              <w:rPr>
                <w:rFonts w:ascii="Times New Roman" w:hAnsi="Times New Roman"/>
                <w:sz w:val="18"/>
                <w:szCs w:val="18"/>
              </w:rPr>
              <w:t>2020</w:t>
            </w:r>
          </w:p>
        </w:tc>
        <w:tc>
          <w:tcPr>
            <w:tcW w:w="457" w:type="pct"/>
            <w:tcBorders>
              <w:left w:val="single" w:sz="4" w:space="0" w:color="auto"/>
            </w:tcBorders>
          </w:tcPr>
          <w:p w14:paraId="6D9DC43A" w14:textId="77777777" w:rsidR="00C94B87" w:rsidRPr="00305421"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305421">
              <w:rPr>
                <w:rFonts w:ascii="Times New Roman" w:hAnsi="Times New Roman"/>
                <w:sz w:val="18"/>
                <w:szCs w:val="18"/>
              </w:rPr>
              <w:t>2021</w:t>
            </w:r>
          </w:p>
        </w:tc>
        <w:tc>
          <w:tcPr>
            <w:tcW w:w="471" w:type="pct"/>
            <w:tcBorders>
              <w:left w:val="single" w:sz="4" w:space="0" w:color="auto"/>
            </w:tcBorders>
          </w:tcPr>
          <w:p w14:paraId="587DD071" w14:textId="77777777" w:rsidR="00C94B87" w:rsidRPr="00305421"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305421">
              <w:rPr>
                <w:rFonts w:ascii="Times New Roman" w:hAnsi="Times New Roman"/>
                <w:sz w:val="18"/>
                <w:szCs w:val="18"/>
              </w:rPr>
              <w:t>2022</w:t>
            </w:r>
          </w:p>
        </w:tc>
        <w:tc>
          <w:tcPr>
            <w:tcW w:w="437" w:type="pct"/>
            <w:tcBorders>
              <w:left w:val="single" w:sz="4" w:space="0" w:color="auto"/>
            </w:tcBorders>
          </w:tcPr>
          <w:p w14:paraId="6DB26420" w14:textId="77777777" w:rsidR="00C94B87" w:rsidRPr="00366853" w:rsidRDefault="00C94B87" w:rsidP="00CE15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2023</w:t>
            </w:r>
          </w:p>
        </w:tc>
      </w:tr>
      <w:tr w:rsidR="00C94B87" w:rsidRPr="00366853" w14:paraId="23B7C5C1" w14:textId="77777777" w:rsidTr="00CE1543">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0" w:type="pct"/>
          </w:tcPr>
          <w:p w14:paraId="05DAB77E" w14:textId="77777777" w:rsidR="00C94B87" w:rsidRPr="00366853" w:rsidRDefault="00C94B87" w:rsidP="00CE1543">
            <w:pPr>
              <w:jc w:val="center"/>
              <w:rPr>
                <w:rFonts w:ascii="Times New Roman" w:hAnsi="Times New Roman"/>
                <w:b w:val="0"/>
                <w:bCs w:val="0"/>
                <w:sz w:val="18"/>
                <w:szCs w:val="18"/>
              </w:rPr>
            </w:pPr>
            <w:r w:rsidRPr="00366853">
              <w:rPr>
                <w:rFonts w:ascii="Times New Roman" w:hAnsi="Times New Roman"/>
                <w:sz w:val="18"/>
                <w:szCs w:val="18"/>
              </w:rPr>
              <w:t>1</w:t>
            </w:r>
          </w:p>
        </w:tc>
        <w:tc>
          <w:tcPr>
            <w:tcW w:w="1006" w:type="pct"/>
          </w:tcPr>
          <w:p w14:paraId="32BE168B"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HCFC-22</w:t>
            </w:r>
          </w:p>
        </w:tc>
        <w:tc>
          <w:tcPr>
            <w:tcW w:w="495" w:type="pct"/>
          </w:tcPr>
          <w:p w14:paraId="4173AE0F"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6.0</w:t>
            </w:r>
          </w:p>
        </w:tc>
        <w:tc>
          <w:tcPr>
            <w:tcW w:w="471" w:type="pct"/>
            <w:tcBorders>
              <w:right w:val="single" w:sz="4" w:space="0" w:color="auto"/>
            </w:tcBorders>
          </w:tcPr>
          <w:p w14:paraId="0DE94DF1"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6.3</w:t>
            </w:r>
          </w:p>
        </w:tc>
        <w:tc>
          <w:tcPr>
            <w:tcW w:w="470" w:type="pct"/>
            <w:tcBorders>
              <w:right w:val="single" w:sz="4" w:space="0" w:color="auto"/>
            </w:tcBorders>
          </w:tcPr>
          <w:p w14:paraId="4A5FDDE2"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6.3</w:t>
            </w:r>
          </w:p>
        </w:tc>
        <w:tc>
          <w:tcPr>
            <w:tcW w:w="482" w:type="pct"/>
            <w:tcBorders>
              <w:right w:val="single" w:sz="4" w:space="0" w:color="auto"/>
            </w:tcBorders>
          </w:tcPr>
          <w:p w14:paraId="5ACFFDF1"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9</w:t>
            </w:r>
          </w:p>
        </w:tc>
        <w:tc>
          <w:tcPr>
            <w:tcW w:w="520" w:type="pct"/>
            <w:tcBorders>
              <w:right w:val="single" w:sz="4" w:space="0" w:color="auto"/>
            </w:tcBorders>
          </w:tcPr>
          <w:p w14:paraId="784DF464"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12.42</w:t>
            </w:r>
          </w:p>
        </w:tc>
        <w:tc>
          <w:tcPr>
            <w:tcW w:w="457" w:type="pct"/>
            <w:tcBorders>
              <w:left w:val="single" w:sz="4" w:space="0" w:color="auto"/>
            </w:tcBorders>
          </w:tcPr>
          <w:p w14:paraId="61A5AB78"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15.16</w:t>
            </w:r>
          </w:p>
        </w:tc>
        <w:tc>
          <w:tcPr>
            <w:tcW w:w="471" w:type="pct"/>
            <w:tcBorders>
              <w:left w:val="single" w:sz="4" w:space="0" w:color="auto"/>
            </w:tcBorders>
          </w:tcPr>
          <w:p w14:paraId="2BB00046"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16.10</w:t>
            </w:r>
          </w:p>
        </w:tc>
        <w:tc>
          <w:tcPr>
            <w:tcW w:w="437" w:type="pct"/>
            <w:tcBorders>
              <w:left w:val="single" w:sz="4" w:space="0" w:color="auto"/>
            </w:tcBorders>
          </w:tcPr>
          <w:p w14:paraId="1A074391"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9.50</w:t>
            </w:r>
          </w:p>
        </w:tc>
      </w:tr>
      <w:tr w:rsidR="00C94B87" w:rsidRPr="00366853" w14:paraId="566A1144" w14:textId="77777777" w:rsidTr="00CE1543">
        <w:trPr>
          <w:trHeight w:val="57"/>
        </w:trPr>
        <w:tc>
          <w:tcPr>
            <w:cnfStyle w:val="001000000000" w:firstRow="0" w:lastRow="0" w:firstColumn="1" w:lastColumn="0" w:oddVBand="0" w:evenVBand="0" w:oddHBand="0" w:evenHBand="0" w:firstRowFirstColumn="0" w:firstRowLastColumn="0" w:lastRowFirstColumn="0" w:lastRowLastColumn="0"/>
            <w:tcW w:w="190" w:type="pct"/>
          </w:tcPr>
          <w:p w14:paraId="5C2A39CE" w14:textId="77777777" w:rsidR="00C94B87" w:rsidRPr="00366853" w:rsidRDefault="00C94B87" w:rsidP="00CE1543">
            <w:pPr>
              <w:jc w:val="center"/>
              <w:rPr>
                <w:rFonts w:ascii="Times New Roman" w:hAnsi="Times New Roman"/>
                <w:b w:val="0"/>
                <w:bCs w:val="0"/>
                <w:sz w:val="18"/>
                <w:szCs w:val="18"/>
              </w:rPr>
            </w:pPr>
            <w:r w:rsidRPr="00366853">
              <w:rPr>
                <w:rFonts w:ascii="Times New Roman" w:hAnsi="Times New Roman"/>
                <w:sz w:val="18"/>
                <w:szCs w:val="18"/>
              </w:rPr>
              <w:t>2</w:t>
            </w:r>
          </w:p>
        </w:tc>
        <w:tc>
          <w:tcPr>
            <w:tcW w:w="1006" w:type="pct"/>
          </w:tcPr>
          <w:p w14:paraId="5AF8729E"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HFC-134a</w:t>
            </w:r>
          </w:p>
        </w:tc>
        <w:tc>
          <w:tcPr>
            <w:tcW w:w="495" w:type="pct"/>
          </w:tcPr>
          <w:p w14:paraId="08520EFD"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6.0</w:t>
            </w:r>
          </w:p>
        </w:tc>
        <w:tc>
          <w:tcPr>
            <w:tcW w:w="471" w:type="pct"/>
            <w:tcBorders>
              <w:right w:val="single" w:sz="4" w:space="0" w:color="auto"/>
            </w:tcBorders>
          </w:tcPr>
          <w:p w14:paraId="4F15AF7D"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6.3</w:t>
            </w:r>
          </w:p>
        </w:tc>
        <w:tc>
          <w:tcPr>
            <w:tcW w:w="470" w:type="pct"/>
            <w:tcBorders>
              <w:right w:val="single" w:sz="4" w:space="0" w:color="auto"/>
            </w:tcBorders>
          </w:tcPr>
          <w:p w14:paraId="0DFA355D"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6.3</w:t>
            </w:r>
          </w:p>
        </w:tc>
        <w:tc>
          <w:tcPr>
            <w:tcW w:w="482" w:type="pct"/>
            <w:tcBorders>
              <w:right w:val="single" w:sz="4" w:space="0" w:color="auto"/>
            </w:tcBorders>
          </w:tcPr>
          <w:p w14:paraId="52DDFA4A"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7</w:t>
            </w:r>
          </w:p>
        </w:tc>
        <w:tc>
          <w:tcPr>
            <w:tcW w:w="520" w:type="pct"/>
            <w:tcBorders>
              <w:right w:val="single" w:sz="4" w:space="0" w:color="auto"/>
            </w:tcBorders>
          </w:tcPr>
          <w:p w14:paraId="28D7C9FE"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8.87</w:t>
            </w:r>
          </w:p>
        </w:tc>
        <w:tc>
          <w:tcPr>
            <w:tcW w:w="457" w:type="pct"/>
            <w:tcBorders>
              <w:left w:val="single" w:sz="4" w:space="0" w:color="auto"/>
            </w:tcBorders>
          </w:tcPr>
          <w:p w14:paraId="796CD855"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10.18</w:t>
            </w:r>
          </w:p>
        </w:tc>
        <w:tc>
          <w:tcPr>
            <w:tcW w:w="471" w:type="pct"/>
            <w:tcBorders>
              <w:left w:val="single" w:sz="4" w:space="0" w:color="auto"/>
            </w:tcBorders>
          </w:tcPr>
          <w:p w14:paraId="5FB42485"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8.28</w:t>
            </w:r>
          </w:p>
        </w:tc>
        <w:tc>
          <w:tcPr>
            <w:tcW w:w="437" w:type="pct"/>
            <w:tcBorders>
              <w:left w:val="single" w:sz="4" w:space="0" w:color="auto"/>
            </w:tcBorders>
          </w:tcPr>
          <w:p w14:paraId="1CE9F509"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6.8</w:t>
            </w:r>
          </w:p>
        </w:tc>
      </w:tr>
      <w:tr w:rsidR="00C94B87" w:rsidRPr="00366853" w14:paraId="7073BADD" w14:textId="77777777" w:rsidTr="00CE1543">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0" w:type="pct"/>
          </w:tcPr>
          <w:p w14:paraId="3E2543FB" w14:textId="77777777" w:rsidR="00C94B87" w:rsidRPr="00366853" w:rsidRDefault="00C94B87" w:rsidP="00CE1543">
            <w:pPr>
              <w:jc w:val="center"/>
              <w:rPr>
                <w:rFonts w:ascii="Times New Roman" w:hAnsi="Times New Roman"/>
                <w:b w:val="0"/>
                <w:bCs w:val="0"/>
                <w:sz w:val="18"/>
                <w:szCs w:val="18"/>
              </w:rPr>
            </w:pPr>
            <w:r w:rsidRPr="00366853">
              <w:rPr>
                <w:rFonts w:ascii="Times New Roman" w:hAnsi="Times New Roman"/>
                <w:sz w:val="18"/>
                <w:szCs w:val="18"/>
              </w:rPr>
              <w:t>3</w:t>
            </w:r>
          </w:p>
        </w:tc>
        <w:tc>
          <w:tcPr>
            <w:tcW w:w="1006" w:type="pct"/>
          </w:tcPr>
          <w:p w14:paraId="36ADCBB3"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HFC-404A</w:t>
            </w:r>
          </w:p>
        </w:tc>
        <w:tc>
          <w:tcPr>
            <w:tcW w:w="495" w:type="pct"/>
          </w:tcPr>
          <w:p w14:paraId="446C71DC"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7.2</w:t>
            </w:r>
          </w:p>
        </w:tc>
        <w:tc>
          <w:tcPr>
            <w:tcW w:w="471" w:type="pct"/>
            <w:tcBorders>
              <w:right w:val="single" w:sz="4" w:space="0" w:color="auto"/>
            </w:tcBorders>
          </w:tcPr>
          <w:p w14:paraId="0F58EAFA"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7.9</w:t>
            </w:r>
          </w:p>
        </w:tc>
        <w:tc>
          <w:tcPr>
            <w:tcW w:w="470" w:type="pct"/>
            <w:tcBorders>
              <w:right w:val="single" w:sz="4" w:space="0" w:color="auto"/>
            </w:tcBorders>
          </w:tcPr>
          <w:p w14:paraId="613B3B6E"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7.9</w:t>
            </w:r>
          </w:p>
        </w:tc>
        <w:tc>
          <w:tcPr>
            <w:tcW w:w="482" w:type="pct"/>
            <w:tcBorders>
              <w:right w:val="single" w:sz="4" w:space="0" w:color="auto"/>
            </w:tcBorders>
          </w:tcPr>
          <w:p w14:paraId="3863D728"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9</w:t>
            </w:r>
          </w:p>
        </w:tc>
        <w:tc>
          <w:tcPr>
            <w:tcW w:w="520" w:type="pct"/>
            <w:tcBorders>
              <w:right w:val="single" w:sz="4" w:space="0" w:color="auto"/>
            </w:tcBorders>
          </w:tcPr>
          <w:p w14:paraId="6941FE75"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9.93</w:t>
            </w:r>
          </w:p>
        </w:tc>
        <w:tc>
          <w:tcPr>
            <w:tcW w:w="457" w:type="pct"/>
            <w:tcBorders>
              <w:left w:val="single" w:sz="4" w:space="0" w:color="auto"/>
            </w:tcBorders>
          </w:tcPr>
          <w:p w14:paraId="23CBC20C"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17.12</w:t>
            </w:r>
          </w:p>
        </w:tc>
        <w:tc>
          <w:tcPr>
            <w:tcW w:w="471" w:type="pct"/>
            <w:tcBorders>
              <w:left w:val="single" w:sz="4" w:space="0" w:color="auto"/>
            </w:tcBorders>
          </w:tcPr>
          <w:p w14:paraId="5ADFFD48"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11.63</w:t>
            </w:r>
          </w:p>
        </w:tc>
        <w:tc>
          <w:tcPr>
            <w:tcW w:w="437" w:type="pct"/>
            <w:tcBorders>
              <w:left w:val="single" w:sz="4" w:space="0" w:color="auto"/>
            </w:tcBorders>
          </w:tcPr>
          <w:p w14:paraId="5E049277"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7.13</w:t>
            </w:r>
          </w:p>
        </w:tc>
      </w:tr>
      <w:tr w:rsidR="00C94B87" w:rsidRPr="00366853" w14:paraId="72610184" w14:textId="77777777" w:rsidTr="00CE1543">
        <w:trPr>
          <w:trHeight w:val="57"/>
        </w:trPr>
        <w:tc>
          <w:tcPr>
            <w:cnfStyle w:val="001000000000" w:firstRow="0" w:lastRow="0" w:firstColumn="1" w:lastColumn="0" w:oddVBand="0" w:evenVBand="0" w:oddHBand="0" w:evenHBand="0" w:firstRowFirstColumn="0" w:firstRowLastColumn="0" w:lastRowFirstColumn="0" w:lastRowLastColumn="0"/>
            <w:tcW w:w="190" w:type="pct"/>
          </w:tcPr>
          <w:p w14:paraId="22D4B61C" w14:textId="77777777" w:rsidR="00C94B87" w:rsidRPr="00366853" w:rsidRDefault="00C94B87" w:rsidP="00CE1543">
            <w:pPr>
              <w:jc w:val="center"/>
              <w:rPr>
                <w:rFonts w:ascii="Times New Roman" w:hAnsi="Times New Roman"/>
                <w:b w:val="0"/>
                <w:bCs w:val="0"/>
                <w:sz w:val="18"/>
                <w:szCs w:val="18"/>
              </w:rPr>
            </w:pPr>
            <w:r w:rsidRPr="00366853">
              <w:rPr>
                <w:rFonts w:ascii="Times New Roman" w:hAnsi="Times New Roman"/>
                <w:sz w:val="18"/>
                <w:szCs w:val="18"/>
              </w:rPr>
              <w:t>4</w:t>
            </w:r>
          </w:p>
        </w:tc>
        <w:tc>
          <w:tcPr>
            <w:tcW w:w="1006" w:type="pct"/>
          </w:tcPr>
          <w:p w14:paraId="555B1388"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HFC-407C</w:t>
            </w:r>
          </w:p>
        </w:tc>
        <w:tc>
          <w:tcPr>
            <w:tcW w:w="495" w:type="pct"/>
          </w:tcPr>
          <w:p w14:paraId="22092D90"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7.2</w:t>
            </w:r>
          </w:p>
        </w:tc>
        <w:tc>
          <w:tcPr>
            <w:tcW w:w="471" w:type="pct"/>
            <w:tcBorders>
              <w:right w:val="single" w:sz="4" w:space="0" w:color="auto"/>
            </w:tcBorders>
          </w:tcPr>
          <w:p w14:paraId="5525A908"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7.9</w:t>
            </w:r>
          </w:p>
        </w:tc>
        <w:tc>
          <w:tcPr>
            <w:tcW w:w="470" w:type="pct"/>
            <w:tcBorders>
              <w:right w:val="single" w:sz="4" w:space="0" w:color="auto"/>
            </w:tcBorders>
          </w:tcPr>
          <w:p w14:paraId="20D268D5"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7.9</w:t>
            </w:r>
          </w:p>
        </w:tc>
        <w:tc>
          <w:tcPr>
            <w:tcW w:w="482" w:type="pct"/>
            <w:tcBorders>
              <w:right w:val="single" w:sz="4" w:space="0" w:color="auto"/>
            </w:tcBorders>
          </w:tcPr>
          <w:p w14:paraId="430C6D73"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10</w:t>
            </w:r>
          </w:p>
        </w:tc>
        <w:tc>
          <w:tcPr>
            <w:tcW w:w="520" w:type="pct"/>
            <w:tcBorders>
              <w:right w:val="single" w:sz="4" w:space="0" w:color="auto"/>
            </w:tcBorders>
          </w:tcPr>
          <w:p w14:paraId="4ECFA5D9"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12.42</w:t>
            </w:r>
          </w:p>
        </w:tc>
        <w:tc>
          <w:tcPr>
            <w:tcW w:w="457" w:type="pct"/>
            <w:tcBorders>
              <w:left w:val="single" w:sz="4" w:space="0" w:color="auto"/>
            </w:tcBorders>
          </w:tcPr>
          <w:p w14:paraId="0F1A6434"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12.14</w:t>
            </w:r>
          </w:p>
        </w:tc>
        <w:tc>
          <w:tcPr>
            <w:tcW w:w="471" w:type="pct"/>
            <w:tcBorders>
              <w:left w:val="single" w:sz="4" w:space="0" w:color="auto"/>
            </w:tcBorders>
          </w:tcPr>
          <w:p w14:paraId="0282E7BA"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13.09</w:t>
            </w:r>
          </w:p>
        </w:tc>
        <w:tc>
          <w:tcPr>
            <w:tcW w:w="437" w:type="pct"/>
            <w:tcBorders>
              <w:left w:val="single" w:sz="4" w:space="0" w:color="auto"/>
            </w:tcBorders>
          </w:tcPr>
          <w:p w14:paraId="73006CF6"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9.47</w:t>
            </w:r>
          </w:p>
        </w:tc>
      </w:tr>
      <w:tr w:rsidR="00C94B87" w:rsidRPr="00366853" w14:paraId="7A23E6F9" w14:textId="77777777" w:rsidTr="00CE1543">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0" w:type="pct"/>
          </w:tcPr>
          <w:p w14:paraId="0E84284E" w14:textId="77777777" w:rsidR="00C94B87" w:rsidRPr="00366853" w:rsidRDefault="00C94B87" w:rsidP="00CE1543">
            <w:pPr>
              <w:jc w:val="center"/>
              <w:rPr>
                <w:rFonts w:ascii="Times New Roman" w:hAnsi="Times New Roman"/>
                <w:b w:val="0"/>
                <w:bCs w:val="0"/>
                <w:sz w:val="18"/>
                <w:szCs w:val="18"/>
              </w:rPr>
            </w:pPr>
            <w:r w:rsidRPr="00366853">
              <w:rPr>
                <w:rFonts w:ascii="Times New Roman" w:hAnsi="Times New Roman"/>
                <w:sz w:val="18"/>
                <w:szCs w:val="18"/>
              </w:rPr>
              <w:t>6</w:t>
            </w:r>
          </w:p>
        </w:tc>
        <w:tc>
          <w:tcPr>
            <w:tcW w:w="1006" w:type="pct"/>
          </w:tcPr>
          <w:p w14:paraId="7F0AFBD8"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HFC-507A</w:t>
            </w:r>
          </w:p>
        </w:tc>
        <w:tc>
          <w:tcPr>
            <w:tcW w:w="495" w:type="pct"/>
          </w:tcPr>
          <w:p w14:paraId="636C808F"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19.9</w:t>
            </w:r>
          </w:p>
        </w:tc>
        <w:tc>
          <w:tcPr>
            <w:tcW w:w="471" w:type="pct"/>
            <w:tcBorders>
              <w:right w:val="single" w:sz="4" w:space="0" w:color="auto"/>
            </w:tcBorders>
          </w:tcPr>
          <w:p w14:paraId="548CC7CA"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11.8</w:t>
            </w:r>
          </w:p>
        </w:tc>
        <w:tc>
          <w:tcPr>
            <w:tcW w:w="470" w:type="pct"/>
            <w:tcBorders>
              <w:right w:val="single" w:sz="4" w:space="0" w:color="auto"/>
            </w:tcBorders>
          </w:tcPr>
          <w:p w14:paraId="37D9620E"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11.8</w:t>
            </w:r>
          </w:p>
        </w:tc>
        <w:tc>
          <w:tcPr>
            <w:tcW w:w="482" w:type="pct"/>
            <w:tcBorders>
              <w:right w:val="single" w:sz="4" w:space="0" w:color="auto"/>
            </w:tcBorders>
          </w:tcPr>
          <w:p w14:paraId="29938C7A"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13</w:t>
            </w:r>
          </w:p>
        </w:tc>
        <w:tc>
          <w:tcPr>
            <w:tcW w:w="520" w:type="pct"/>
            <w:tcBorders>
              <w:right w:val="single" w:sz="4" w:space="0" w:color="auto"/>
            </w:tcBorders>
          </w:tcPr>
          <w:p w14:paraId="1C80F28C"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10.64</w:t>
            </w:r>
          </w:p>
        </w:tc>
        <w:tc>
          <w:tcPr>
            <w:tcW w:w="457" w:type="pct"/>
            <w:tcBorders>
              <w:left w:val="single" w:sz="4" w:space="0" w:color="auto"/>
            </w:tcBorders>
          </w:tcPr>
          <w:p w14:paraId="19E5B09D"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11.21</w:t>
            </w:r>
          </w:p>
        </w:tc>
        <w:tc>
          <w:tcPr>
            <w:tcW w:w="471" w:type="pct"/>
            <w:tcBorders>
              <w:left w:val="single" w:sz="4" w:space="0" w:color="auto"/>
            </w:tcBorders>
          </w:tcPr>
          <w:p w14:paraId="1BB54304"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13.09</w:t>
            </w:r>
          </w:p>
        </w:tc>
        <w:tc>
          <w:tcPr>
            <w:tcW w:w="437" w:type="pct"/>
            <w:tcBorders>
              <w:left w:val="single" w:sz="4" w:space="0" w:color="auto"/>
            </w:tcBorders>
          </w:tcPr>
          <w:p w14:paraId="13D8AAFA" w14:textId="77777777" w:rsidR="00C94B87" w:rsidRPr="00366853" w:rsidRDefault="00C94B87" w:rsidP="00CE15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9.47</w:t>
            </w:r>
          </w:p>
        </w:tc>
      </w:tr>
      <w:tr w:rsidR="00C94B87" w:rsidRPr="00366853" w14:paraId="1FD0B722" w14:textId="77777777" w:rsidTr="00CE1543">
        <w:trPr>
          <w:trHeight w:val="57"/>
        </w:trPr>
        <w:tc>
          <w:tcPr>
            <w:cnfStyle w:val="001000000000" w:firstRow="0" w:lastRow="0" w:firstColumn="1" w:lastColumn="0" w:oddVBand="0" w:evenVBand="0" w:oddHBand="0" w:evenHBand="0" w:firstRowFirstColumn="0" w:firstRowLastColumn="0" w:lastRowFirstColumn="0" w:lastRowLastColumn="0"/>
            <w:tcW w:w="190" w:type="pct"/>
          </w:tcPr>
          <w:p w14:paraId="4E60DA76" w14:textId="77777777" w:rsidR="00C94B87" w:rsidRPr="00366853" w:rsidRDefault="00C94B87" w:rsidP="00CE1543">
            <w:pPr>
              <w:jc w:val="center"/>
              <w:rPr>
                <w:rFonts w:ascii="Times New Roman" w:hAnsi="Times New Roman"/>
                <w:b w:val="0"/>
                <w:bCs w:val="0"/>
                <w:sz w:val="18"/>
                <w:szCs w:val="18"/>
              </w:rPr>
            </w:pPr>
            <w:r w:rsidRPr="00366853">
              <w:rPr>
                <w:rFonts w:ascii="Times New Roman" w:hAnsi="Times New Roman"/>
                <w:sz w:val="18"/>
                <w:szCs w:val="18"/>
              </w:rPr>
              <w:t>8</w:t>
            </w:r>
          </w:p>
        </w:tc>
        <w:tc>
          <w:tcPr>
            <w:tcW w:w="1006" w:type="pct"/>
          </w:tcPr>
          <w:p w14:paraId="74A9D261"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HC-600a</w:t>
            </w:r>
          </w:p>
        </w:tc>
        <w:tc>
          <w:tcPr>
            <w:tcW w:w="495" w:type="pct"/>
          </w:tcPr>
          <w:p w14:paraId="31F8DA8F"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13.9</w:t>
            </w:r>
          </w:p>
        </w:tc>
        <w:tc>
          <w:tcPr>
            <w:tcW w:w="471" w:type="pct"/>
            <w:tcBorders>
              <w:right w:val="single" w:sz="4" w:space="0" w:color="auto"/>
            </w:tcBorders>
          </w:tcPr>
          <w:p w14:paraId="32E57B96"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13.8</w:t>
            </w:r>
          </w:p>
        </w:tc>
        <w:tc>
          <w:tcPr>
            <w:tcW w:w="470" w:type="pct"/>
            <w:tcBorders>
              <w:right w:val="single" w:sz="4" w:space="0" w:color="auto"/>
            </w:tcBorders>
          </w:tcPr>
          <w:p w14:paraId="28C308F4"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13.8</w:t>
            </w:r>
          </w:p>
        </w:tc>
        <w:tc>
          <w:tcPr>
            <w:tcW w:w="482" w:type="pct"/>
            <w:tcBorders>
              <w:right w:val="single" w:sz="4" w:space="0" w:color="auto"/>
            </w:tcBorders>
          </w:tcPr>
          <w:p w14:paraId="5D3B3BDA"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13</w:t>
            </w:r>
          </w:p>
        </w:tc>
        <w:tc>
          <w:tcPr>
            <w:tcW w:w="520" w:type="pct"/>
            <w:tcBorders>
              <w:right w:val="single" w:sz="4" w:space="0" w:color="auto"/>
            </w:tcBorders>
          </w:tcPr>
          <w:p w14:paraId="4473F169"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6853">
              <w:rPr>
                <w:rFonts w:ascii="Times New Roman" w:hAnsi="Times New Roman"/>
                <w:sz w:val="18"/>
                <w:szCs w:val="18"/>
              </w:rPr>
              <w:t>12.42</w:t>
            </w:r>
          </w:p>
        </w:tc>
        <w:tc>
          <w:tcPr>
            <w:tcW w:w="457" w:type="pct"/>
            <w:tcBorders>
              <w:left w:val="single" w:sz="4" w:space="0" w:color="auto"/>
            </w:tcBorders>
          </w:tcPr>
          <w:p w14:paraId="2F013378"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13.02</w:t>
            </w:r>
          </w:p>
        </w:tc>
        <w:tc>
          <w:tcPr>
            <w:tcW w:w="471" w:type="pct"/>
            <w:tcBorders>
              <w:left w:val="single" w:sz="4" w:space="0" w:color="auto"/>
            </w:tcBorders>
          </w:tcPr>
          <w:p w14:paraId="5C2052C4"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51.90</w:t>
            </w:r>
          </w:p>
        </w:tc>
        <w:tc>
          <w:tcPr>
            <w:tcW w:w="437" w:type="pct"/>
            <w:tcBorders>
              <w:left w:val="single" w:sz="4" w:space="0" w:color="auto"/>
            </w:tcBorders>
          </w:tcPr>
          <w:p w14:paraId="5F1410AD" w14:textId="77777777" w:rsidR="00C94B87" w:rsidRPr="00366853" w:rsidRDefault="00C94B87" w:rsidP="00CE15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42.33</w:t>
            </w:r>
          </w:p>
        </w:tc>
      </w:tr>
    </w:tbl>
    <w:p w14:paraId="73BC1DE9" w14:textId="77777777" w:rsidR="00C94B87" w:rsidRPr="00366853" w:rsidRDefault="00C94B87" w:rsidP="00366853"/>
    <w:p w14:paraId="0C1E9D14" w14:textId="77777777" w:rsidR="00366853" w:rsidRPr="00366853" w:rsidRDefault="00366853" w:rsidP="00366853">
      <w:r w:rsidRPr="00366853">
        <w:t xml:space="preserve">As it can be seen from the table above, in 2020, the price of HCFC has reached its historical high point, that is likely to be attributed to the disruption of supply caused by the COVID 19 pandemic; however, there is a visibly clear upward trend there in its increasing cost. The prices of other refrigerants have similarly shown an upward trend. </w:t>
      </w:r>
      <w:bookmarkStart w:id="3" w:name="_Hlk76573614"/>
      <w:r w:rsidRPr="00366853">
        <w:t>Further market research studies will continue in the future.</w:t>
      </w:r>
      <w:bookmarkEnd w:id="3"/>
    </w:p>
    <w:bookmarkEnd w:id="2"/>
    <w:p w14:paraId="4C8610E7" w14:textId="77777777" w:rsidR="00914391" w:rsidRPr="00CB04B2" w:rsidRDefault="00914391" w:rsidP="00664CC7">
      <w:pPr>
        <w:keepNext/>
        <w:tabs>
          <w:tab w:val="left" w:pos="720"/>
          <w:tab w:val="right" w:pos="9360"/>
        </w:tabs>
        <w:spacing w:after="120"/>
        <w:rPr>
          <w:rFonts w:eastAsia="SimSun"/>
          <w:b/>
          <w:color w:val="000000"/>
          <w:lang w:eastAsia="zh-CN"/>
        </w:rPr>
      </w:pPr>
    </w:p>
    <w:p w14:paraId="19C51F75" w14:textId="48345389" w:rsidR="00BB5450" w:rsidRPr="00CB04B2" w:rsidRDefault="007C783D" w:rsidP="00BB5450">
      <w:pPr>
        <w:keepNext/>
        <w:tabs>
          <w:tab w:val="left" w:pos="720"/>
          <w:tab w:val="right" w:pos="9360"/>
        </w:tabs>
        <w:spacing w:after="120"/>
        <w:rPr>
          <w:rFonts w:eastAsia="SimSun"/>
          <w:b/>
          <w:color w:val="000000"/>
          <w:lang w:val="en-CA" w:eastAsia="zh-CN"/>
        </w:rPr>
      </w:pPr>
      <w:r w:rsidRPr="00664CC7">
        <w:rPr>
          <w:rFonts w:eastAsia="SimSun"/>
          <w:b/>
          <w:color w:val="000000"/>
          <w:lang w:val="en-CA" w:eastAsia="zh-CN"/>
        </w:rPr>
        <w:t>I.4</w:t>
      </w:r>
      <w:r w:rsidRPr="00664CC7">
        <w:rPr>
          <w:rFonts w:eastAsia="SimSun"/>
          <w:b/>
          <w:color w:val="000000"/>
          <w:lang w:val="en-CA" w:eastAsia="zh-CN"/>
        </w:rPr>
        <w:tab/>
        <w:t>HCFC phase-out activities</w:t>
      </w:r>
    </w:p>
    <w:p w14:paraId="135F3F07" w14:textId="77777777" w:rsidR="00A015CB" w:rsidRPr="00A015CB" w:rsidRDefault="00BB5450" w:rsidP="00A015CB">
      <w:pPr>
        <w:tabs>
          <w:tab w:val="left" w:pos="720"/>
          <w:tab w:val="right" w:pos="9360"/>
        </w:tabs>
        <w:rPr>
          <w:lang w:val="en-AU"/>
        </w:rPr>
      </w:pPr>
      <w:r w:rsidRPr="00664CC7">
        <w:rPr>
          <w:rFonts w:eastAsia="SimSun"/>
          <w:color w:val="000000"/>
          <w:lang w:val="en-CA" w:eastAsia="zh-CN"/>
        </w:rPr>
        <w:t>I.4.1</w:t>
      </w:r>
      <w:r w:rsidRPr="00664CC7">
        <w:rPr>
          <w:rFonts w:eastAsia="SimSun"/>
          <w:color w:val="000000"/>
          <w:lang w:val="en-CA" w:eastAsia="zh-CN"/>
        </w:rPr>
        <w:tab/>
      </w:r>
      <w:r w:rsidRPr="00664CC7">
        <w:rPr>
          <w:rFonts w:eastAsia="SimSun"/>
          <w:color w:val="000000"/>
          <w:u w:val="single"/>
          <w:lang w:val="en-CA" w:eastAsia="zh-CN"/>
        </w:rPr>
        <w:t>Phase-out activities in the manufacturing sector</w:t>
      </w:r>
      <w:r w:rsidRPr="00664CC7">
        <w:rPr>
          <w:rFonts w:eastAsia="SimSun"/>
          <w:color w:val="000000"/>
          <w:lang w:val="en-CA" w:eastAsia="zh-CN"/>
        </w:rPr>
        <w:tab/>
      </w:r>
      <w:r w:rsidRPr="00664CC7">
        <w:rPr>
          <w:rFonts w:eastAsia="SimSun"/>
          <w:color w:val="000000"/>
          <w:lang w:val="en-CA" w:eastAsia="zh-CN"/>
        </w:rPr>
        <w:br/>
      </w:r>
      <w:r w:rsidRPr="00664CC7">
        <w:rPr>
          <w:rFonts w:eastAsia="SimSun"/>
          <w:color w:val="000000"/>
          <w:lang w:val="en-CA" w:eastAsia="zh-CN"/>
        </w:rPr>
        <w:br/>
      </w:r>
      <w:r w:rsidR="00A015CB" w:rsidRPr="00A015CB">
        <w:t xml:space="preserve">HCFC phase-out activities in the manufacturing sector were not originally envisaged in the HPMP of Georgia, as Georgia had no manufacturing facilities which could produce any products with HCFCs. </w:t>
      </w:r>
    </w:p>
    <w:p w14:paraId="514EE7F3" w14:textId="77777777" w:rsidR="001E3ED8" w:rsidRDefault="001E3ED8" w:rsidP="00BB5450">
      <w:pPr>
        <w:rPr>
          <w:lang w:val="en-CA"/>
        </w:rPr>
      </w:pPr>
    </w:p>
    <w:p w14:paraId="661F577C" w14:textId="77777777" w:rsidR="001E3ED8" w:rsidRDefault="001E3ED8" w:rsidP="00BB5450">
      <w:pPr>
        <w:rPr>
          <w:lang w:val="en-CA"/>
        </w:rPr>
      </w:pPr>
    </w:p>
    <w:p w14:paraId="295DE51C" w14:textId="77777777" w:rsidR="001E3ED8" w:rsidRDefault="001E3ED8" w:rsidP="00BB5450">
      <w:pPr>
        <w:rPr>
          <w:lang w:val="en-CA"/>
        </w:rPr>
      </w:pPr>
    </w:p>
    <w:p w14:paraId="7AFDB466" w14:textId="77777777" w:rsidR="001E3ED8" w:rsidRPr="00664CC7" w:rsidRDefault="001E3ED8" w:rsidP="00BB5450">
      <w:pPr>
        <w:rPr>
          <w:lang w:val="en-CA"/>
        </w:rPr>
      </w:pPr>
    </w:p>
    <w:p w14:paraId="75F54FD2" w14:textId="31848490" w:rsidR="00D42C41" w:rsidRPr="00664CC7" w:rsidRDefault="00BB5450" w:rsidP="00664CC7">
      <w:pPr>
        <w:keepNext/>
        <w:tabs>
          <w:tab w:val="left" w:pos="720"/>
          <w:tab w:val="right" w:pos="9360"/>
        </w:tabs>
        <w:spacing w:after="120"/>
        <w:rPr>
          <w:rFonts w:eastAsia="SimSun"/>
          <w:b/>
          <w:color w:val="000000"/>
          <w:lang w:val="en-CA" w:eastAsia="zh-CN"/>
        </w:rPr>
      </w:pPr>
      <w:r w:rsidRPr="00664CC7">
        <w:rPr>
          <w:rFonts w:eastAsia="SimSun"/>
          <w:color w:val="000000"/>
          <w:lang w:val="en-CA" w:eastAsia="zh-CN"/>
        </w:rPr>
        <w:t>I.4.2</w:t>
      </w:r>
      <w:r w:rsidRPr="00664CC7">
        <w:rPr>
          <w:rFonts w:eastAsia="SimSun"/>
          <w:color w:val="000000"/>
          <w:lang w:val="en-CA" w:eastAsia="zh-CN"/>
        </w:rPr>
        <w:tab/>
      </w:r>
      <w:r w:rsidRPr="00664CC7">
        <w:rPr>
          <w:rFonts w:eastAsia="SimSun"/>
          <w:color w:val="000000"/>
          <w:u w:val="single"/>
          <w:lang w:val="en-CA" w:eastAsia="zh-CN"/>
        </w:rPr>
        <w:t>Phase-out activities in the servicing sector</w:t>
      </w:r>
      <w:r w:rsidRPr="00664CC7">
        <w:rPr>
          <w:rFonts w:eastAsia="SimSun"/>
          <w:color w:val="000000"/>
          <w:lang w:val="en-CA" w:eastAsia="zh-CN"/>
        </w:rPr>
        <w:tab/>
      </w:r>
      <w:r w:rsidR="007C783D" w:rsidRPr="00664CC7">
        <w:rPr>
          <w:rFonts w:eastAsia="SimSun"/>
          <w:b/>
          <w:color w:val="000000"/>
          <w:lang w:val="en-CA" w:eastAsia="zh-CN"/>
        </w:rPr>
        <w:tab/>
      </w:r>
    </w:p>
    <w:p w14:paraId="3F8F38A9" w14:textId="238DBB0F" w:rsidR="00B067FD" w:rsidRPr="00C47541" w:rsidRDefault="00AD3664" w:rsidP="00B067FD">
      <w:pPr>
        <w:pStyle w:val="Caption"/>
        <w:rPr>
          <w:i w:val="0"/>
          <w:color w:val="auto"/>
        </w:rPr>
      </w:pPr>
      <w:r w:rsidRPr="00C47541">
        <w:rPr>
          <w:i w:val="0"/>
          <w:color w:val="auto"/>
        </w:rPr>
        <w:t xml:space="preserve">Table </w:t>
      </w:r>
      <w:r w:rsidR="00CB04B2" w:rsidRPr="00C47541">
        <w:rPr>
          <w:i w:val="0"/>
          <w:color w:val="auto"/>
        </w:rPr>
        <w:t>8</w:t>
      </w:r>
      <w:r w:rsidRPr="00C47541">
        <w:rPr>
          <w:i w:val="0"/>
          <w:color w:val="auto"/>
        </w:rPr>
        <w:t xml:space="preserve">: </w:t>
      </w:r>
      <w:r w:rsidR="00D42C41" w:rsidRPr="00C47541">
        <w:rPr>
          <w:i w:val="0"/>
          <w:color w:val="auto"/>
        </w:rPr>
        <w:t>Technical activiti</w:t>
      </w:r>
      <w:r w:rsidR="004A78AA" w:rsidRPr="00C47541">
        <w:rPr>
          <w:i w:val="0"/>
          <w:color w:val="auto"/>
        </w:rPr>
        <w:t>es – Stage I</w:t>
      </w:r>
      <w:r w:rsidR="003413E8">
        <w:rPr>
          <w:rFonts w:ascii="Sylfaen" w:hAnsi="Sylfaen"/>
          <w:i w:val="0"/>
          <w:color w:val="auto"/>
          <w:lang w:val="en-US"/>
        </w:rPr>
        <w:t xml:space="preserve">I </w:t>
      </w:r>
      <w:r w:rsidR="00B067FD" w:rsidRPr="00C47541">
        <w:rPr>
          <w:i w:val="0"/>
          <w:color w:val="auto"/>
        </w:rPr>
        <w:t>tranche 1</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2521"/>
        <w:gridCol w:w="3554"/>
        <w:gridCol w:w="2071"/>
      </w:tblGrid>
      <w:tr w:rsidR="00D8578E" w:rsidRPr="00F20DCA" w14:paraId="2BE621AD" w14:textId="77777777" w:rsidTr="00C85C85">
        <w:tc>
          <w:tcPr>
            <w:tcW w:w="1524" w:type="dxa"/>
            <w:shd w:val="clear" w:color="auto" w:fill="auto"/>
          </w:tcPr>
          <w:p w14:paraId="25272D3A" w14:textId="77777777" w:rsidR="00D8578E" w:rsidRPr="00F20DCA" w:rsidRDefault="00D8578E" w:rsidP="00A92397">
            <w:pPr>
              <w:jc w:val="left"/>
              <w:rPr>
                <w:b/>
                <w:bCs/>
                <w:sz w:val="18"/>
                <w:szCs w:val="18"/>
              </w:rPr>
            </w:pPr>
            <w:r w:rsidRPr="00F20DCA">
              <w:rPr>
                <w:b/>
                <w:bCs/>
                <w:sz w:val="18"/>
                <w:szCs w:val="18"/>
              </w:rPr>
              <w:t>Component</w:t>
            </w:r>
          </w:p>
        </w:tc>
        <w:tc>
          <w:tcPr>
            <w:tcW w:w="2521" w:type="dxa"/>
            <w:shd w:val="clear" w:color="auto" w:fill="auto"/>
          </w:tcPr>
          <w:p w14:paraId="6AFECAE2" w14:textId="77777777" w:rsidR="00D8578E" w:rsidRPr="00F20DCA" w:rsidRDefault="00D8578E" w:rsidP="00A92397">
            <w:pPr>
              <w:jc w:val="left"/>
              <w:rPr>
                <w:b/>
                <w:bCs/>
                <w:sz w:val="18"/>
                <w:szCs w:val="18"/>
              </w:rPr>
            </w:pPr>
            <w:r w:rsidRPr="00F20DCA">
              <w:rPr>
                <w:b/>
                <w:bCs/>
                <w:sz w:val="18"/>
                <w:szCs w:val="18"/>
              </w:rPr>
              <w:t>Planned activity</w:t>
            </w:r>
          </w:p>
          <w:p w14:paraId="4BBA1E83" w14:textId="77777777" w:rsidR="00D8578E" w:rsidRPr="00F20DCA" w:rsidRDefault="00D8578E" w:rsidP="00A92397">
            <w:pPr>
              <w:jc w:val="left"/>
              <w:rPr>
                <w:b/>
                <w:bCs/>
                <w:sz w:val="18"/>
                <w:szCs w:val="18"/>
              </w:rPr>
            </w:pPr>
            <w:r w:rsidRPr="00F20DCA">
              <w:rPr>
                <w:b/>
                <w:bCs/>
                <w:sz w:val="18"/>
                <w:szCs w:val="18"/>
              </w:rPr>
              <w:t>(as per initial project document)</w:t>
            </w:r>
          </w:p>
        </w:tc>
        <w:tc>
          <w:tcPr>
            <w:tcW w:w="3554" w:type="dxa"/>
            <w:shd w:val="clear" w:color="auto" w:fill="auto"/>
          </w:tcPr>
          <w:p w14:paraId="3E315C56" w14:textId="77777777" w:rsidR="00D8578E" w:rsidRPr="00F20DCA" w:rsidRDefault="00D8578E" w:rsidP="00A92397">
            <w:pPr>
              <w:jc w:val="left"/>
              <w:rPr>
                <w:b/>
                <w:bCs/>
                <w:sz w:val="18"/>
                <w:szCs w:val="18"/>
              </w:rPr>
            </w:pPr>
            <w:r w:rsidRPr="00F20DCA">
              <w:rPr>
                <w:b/>
                <w:bCs/>
                <w:sz w:val="18"/>
                <w:szCs w:val="18"/>
              </w:rPr>
              <w:t>Output produced or service delivered</w:t>
            </w:r>
          </w:p>
        </w:tc>
        <w:tc>
          <w:tcPr>
            <w:tcW w:w="2071" w:type="dxa"/>
            <w:shd w:val="clear" w:color="auto" w:fill="auto"/>
            <w:vAlign w:val="center"/>
          </w:tcPr>
          <w:p w14:paraId="06B0136E" w14:textId="77777777" w:rsidR="00D8578E" w:rsidRPr="00F20DCA" w:rsidRDefault="00D8578E" w:rsidP="00A92397">
            <w:pPr>
              <w:jc w:val="left"/>
              <w:rPr>
                <w:b/>
                <w:bCs/>
                <w:i/>
                <w:iCs/>
                <w:sz w:val="18"/>
                <w:szCs w:val="18"/>
              </w:rPr>
            </w:pPr>
            <w:r w:rsidRPr="00F20DCA">
              <w:rPr>
                <w:b/>
                <w:bCs/>
                <w:sz w:val="18"/>
                <w:szCs w:val="18"/>
              </w:rPr>
              <w:t>Outcome observed (Completed, In Progress, Not Started)</w:t>
            </w:r>
          </w:p>
        </w:tc>
      </w:tr>
      <w:tr w:rsidR="003323E1" w:rsidRPr="00F20DCA" w14:paraId="002B5776" w14:textId="77777777" w:rsidTr="002D6DB4">
        <w:tc>
          <w:tcPr>
            <w:tcW w:w="9670" w:type="dxa"/>
            <w:gridSpan w:val="4"/>
            <w:shd w:val="clear" w:color="auto" w:fill="auto"/>
          </w:tcPr>
          <w:p w14:paraId="5AC2D9D3" w14:textId="49815003" w:rsidR="003323E1" w:rsidRPr="00F20DCA" w:rsidRDefault="003323E1" w:rsidP="003323E1">
            <w:pPr>
              <w:jc w:val="center"/>
              <w:rPr>
                <w:b/>
                <w:bCs/>
                <w:sz w:val="18"/>
                <w:szCs w:val="18"/>
              </w:rPr>
            </w:pPr>
          </w:p>
        </w:tc>
      </w:tr>
      <w:tr w:rsidR="00D8578E" w:rsidRPr="00F20DCA" w14:paraId="3A6CDCCD" w14:textId="77777777" w:rsidTr="00C85C85">
        <w:tc>
          <w:tcPr>
            <w:tcW w:w="1524" w:type="dxa"/>
            <w:shd w:val="clear" w:color="auto" w:fill="auto"/>
          </w:tcPr>
          <w:p w14:paraId="36A6C4F6" w14:textId="77777777" w:rsidR="00D8578E" w:rsidRPr="00F20DCA" w:rsidRDefault="00D8578E" w:rsidP="00A92397">
            <w:pPr>
              <w:jc w:val="left"/>
              <w:rPr>
                <w:sz w:val="18"/>
                <w:szCs w:val="18"/>
              </w:rPr>
            </w:pPr>
            <w:bookmarkStart w:id="4" w:name="_Hlk177483121"/>
            <w:r w:rsidRPr="00F20DCA">
              <w:rPr>
                <w:color w:val="000000"/>
                <w:sz w:val="18"/>
                <w:szCs w:val="18"/>
                <w:lang w:val="en-US" w:eastAsia="ja-JP"/>
              </w:rPr>
              <w:t>Component 1: Legal and Regulatory measures</w:t>
            </w:r>
          </w:p>
        </w:tc>
        <w:tc>
          <w:tcPr>
            <w:tcW w:w="2521" w:type="dxa"/>
            <w:shd w:val="clear" w:color="auto" w:fill="auto"/>
            <w:vAlign w:val="center"/>
          </w:tcPr>
          <w:p w14:paraId="56B66848" w14:textId="77777777" w:rsidR="00FA52CA" w:rsidRPr="00FA52CA" w:rsidRDefault="00FA52CA" w:rsidP="00FA52CA">
            <w:pPr>
              <w:rPr>
                <w:b/>
                <w:bCs/>
                <w:sz w:val="18"/>
                <w:szCs w:val="18"/>
                <w:lang w:val="en-US"/>
              </w:rPr>
            </w:pPr>
            <w:r w:rsidRPr="00FA52CA">
              <w:rPr>
                <w:b/>
                <w:bCs/>
                <w:sz w:val="18"/>
                <w:szCs w:val="18"/>
                <w:lang w:val="en-US"/>
              </w:rPr>
              <w:t xml:space="preserve">Activity 1.1. </w:t>
            </w:r>
            <w:r w:rsidRPr="00FA52CA">
              <w:rPr>
                <w:sz w:val="18"/>
                <w:szCs w:val="18"/>
                <w:lang w:val="en-US"/>
              </w:rPr>
              <w:t>Complete and operationalize the web-based electronic reporting and permit system for HCFC import and consumption; conduct training for end-users and technicians for using the electronic reporting tool</w:t>
            </w:r>
            <w:r w:rsidRPr="00FA52CA">
              <w:rPr>
                <w:b/>
                <w:bCs/>
                <w:sz w:val="18"/>
                <w:szCs w:val="18"/>
                <w:lang w:val="en-US"/>
              </w:rPr>
              <w:t xml:space="preserve"> </w:t>
            </w:r>
          </w:p>
          <w:p w14:paraId="048884BE" w14:textId="77777777" w:rsidR="00700590" w:rsidRDefault="00700590" w:rsidP="00FA52CA">
            <w:pPr>
              <w:rPr>
                <w:b/>
                <w:bCs/>
                <w:sz w:val="18"/>
                <w:szCs w:val="18"/>
                <w:lang w:val="en-US"/>
              </w:rPr>
            </w:pPr>
          </w:p>
          <w:p w14:paraId="6C34C9AB" w14:textId="77777777" w:rsidR="00700590" w:rsidRDefault="00700590" w:rsidP="00FA52CA">
            <w:pPr>
              <w:rPr>
                <w:b/>
                <w:bCs/>
                <w:sz w:val="18"/>
                <w:szCs w:val="18"/>
                <w:lang w:val="en-US"/>
              </w:rPr>
            </w:pPr>
          </w:p>
          <w:p w14:paraId="14AD6176" w14:textId="77777777" w:rsidR="00700590" w:rsidRDefault="00700590" w:rsidP="00FA52CA">
            <w:pPr>
              <w:rPr>
                <w:b/>
                <w:bCs/>
                <w:sz w:val="18"/>
                <w:szCs w:val="18"/>
                <w:lang w:val="en-US"/>
              </w:rPr>
            </w:pPr>
          </w:p>
          <w:p w14:paraId="1284EF1E" w14:textId="77777777" w:rsidR="00700590" w:rsidRDefault="00700590" w:rsidP="00FA52CA">
            <w:pPr>
              <w:rPr>
                <w:b/>
                <w:bCs/>
                <w:sz w:val="18"/>
                <w:szCs w:val="18"/>
                <w:lang w:val="en-US"/>
              </w:rPr>
            </w:pPr>
          </w:p>
          <w:p w14:paraId="018FB7E6" w14:textId="77777777" w:rsidR="00700590" w:rsidRDefault="00700590" w:rsidP="00FA52CA">
            <w:pPr>
              <w:rPr>
                <w:b/>
                <w:bCs/>
                <w:sz w:val="18"/>
                <w:szCs w:val="18"/>
                <w:lang w:val="en-US"/>
              </w:rPr>
            </w:pPr>
          </w:p>
          <w:p w14:paraId="58E8EE0D" w14:textId="77777777" w:rsidR="00700590" w:rsidRDefault="00700590" w:rsidP="00FA52CA">
            <w:pPr>
              <w:rPr>
                <w:b/>
                <w:bCs/>
                <w:sz w:val="18"/>
                <w:szCs w:val="18"/>
                <w:lang w:val="en-US"/>
              </w:rPr>
            </w:pPr>
          </w:p>
          <w:p w14:paraId="7D6CD608" w14:textId="77777777" w:rsidR="00700590" w:rsidRDefault="00700590" w:rsidP="00FA52CA">
            <w:pPr>
              <w:rPr>
                <w:b/>
                <w:bCs/>
                <w:sz w:val="18"/>
                <w:szCs w:val="18"/>
                <w:lang w:val="en-US"/>
              </w:rPr>
            </w:pPr>
          </w:p>
          <w:p w14:paraId="2FA10DB0" w14:textId="77777777" w:rsidR="00E25BE6" w:rsidRDefault="00E25BE6" w:rsidP="00FA52CA">
            <w:pPr>
              <w:rPr>
                <w:b/>
                <w:bCs/>
                <w:sz w:val="18"/>
                <w:szCs w:val="18"/>
                <w:lang w:val="en-US"/>
              </w:rPr>
            </w:pPr>
          </w:p>
          <w:p w14:paraId="48ECB979" w14:textId="77777777" w:rsidR="00E25BE6" w:rsidRDefault="00E25BE6" w:rsidP="00FA52CA">
            <w:pPr>
              <w:rPr>
                <w:b/>
                <w:bCs/>
                <w:sz w:val="18"/>
                <w:szCs w:val="18"/>
                <w:lang w:val="en-US"/>
              </w:rPr>
            </w:pPr>
          </w:p>
          <w:p w14:paraId="1F488F71" w14:textId="77777777" w:rsidR="00E25BE6" w:rsidRDefault="00E25BE6" w:rsidP="00FA52CA">
            <w:pPr>
              <w:rPr>
                <w:b/>
                <w:bCs/>
                <w:sz w:val="18"/>
                <w:szCs w:val="18"/>
                <w:lang w:val="en-US"/>
              </w:rPr>
            </w:pPr>
          </w:p>
          <w:p w14:paraId="32199890" w14:textId="77777777" w:rsidR="00E25BE6" w:rsidRDefault="00E25BE6" w:rsidP="00FA52CA">
            <w:pPr>
              <w:rPr>
                <w:b/>
                <w:bCs/>
                <w:sz w:val="18"/>
                <w:szCs w:val="18"/>
                <w:lang w:val="en-US"/>
              </w:rPr>
            </w:pPr>
          </w:p>
          <w:p w14:paraId="354A6293" w14:textId="77777777" w:rsidR="00E25BE6" w:rsidRDefault="00E25BE6" w:rsidP="00FA52CA">
            <w:pPr>
              <w:rPr>
                <w:b/>
                <w:bCs/>
                <w:sz w:val="18"/>
                <w:szCs w:val="18"/>
                <w:lang w:val="en-US"/>
              </w:rPr>
            </w:pPr>
          </w:p>
          <w:p w14:paraId="035BF189" w14:textId="77777777" w:rsidR="00E25BE6" w:rsidRDefault="00E25BE6" w:rsidP="00FA52CA">
            <w:pPr>
              <w:rPr>
                <w:b/>
                <w:bCs/>
                <w:sz w:val="18"/>
                <w:szCs w:val="18"/>
                <w:lang w:val="en-US"/>
              </w:rPr>
            </w:pPr>
          </w:p>
          <w:p w14:paraId="397AD0DF" w14:textId="77777777" w:rsidR="00E25BE6" w:rsidRDefault="00E25BE6" w:rsidP="00FA52CA">
            <w:pPr>
              <w:rPr>
                <w:b/>
                <w:bCs/>
                <w:sz w:val="18"/>
                <w:szCs w:val="18"/>
                <w:lang w:val="en-US"/>
              </w:rPr>
            </w:pPr>
          </w:p>
          <w:p w14:paraId="353AB80D" w14:textId="77777777" w:rsidR="00367E86" w:rsidRDefault="00367E86" w:rsidP="00FA52CA">
            <w:pPr>
              <w:rPr>
                <w:b/>
                <w:bCs/>
                <w:sz w:val="18"/>
                <w:szCs w:val="18"/>
                <w:lang w:val="en-US"/>
              </w:rPr>
            </w:pPr>
          </w:p>
          <w:p w14:paraId="0D138D21" w14:textId="77777777" w:rsidR="00367E86" w:rsidRDefault="00367E86" w:rsidP="00FA52CA">
            <w:pPr>
              <w:rPr>
                <w:b/>
                <w:bCs/>
                <w:sz w:val="18"/>
                <w:szCs w:val="18"/>
                <w:lang w:val="en-US"/>
              </w:rPr>
            </w:pPr>
          </w:p>
          <w:p w14:paraId="74D19466" w14:textId="77777777" w:rsidR="00367E86" w:rsidRDefault="00367E86" w:rsidP="00FA52CA">
            <w:pPr>
              <w:rPr>
                <w:b/>
                <w:bCs/>
                <w:sz w:val="18"/>
                <w:szCs w:val="18"/>
                <w:lang w:val="en-US"/>
              </w:rPr>
            </w:pPr>
          </w:p>
          <w:p w14:paraId="0746603E" w14:textId="77777777" w:rsidR="00367E86" w:rsidRDefault="00367E86" w:rsidP="00FA52CA">
            <w:pPr>
              <w:rPr>
                <w:b/>
                <w:bCs/>
                <w:sz w:val="18"/>
                <w:szCs w:val="18"/>
                <w:lang w:val="en-US"/>
              </w:rPr>
            </w:pPr>
          </w:p>
          <w:p w14:paraId="01AB8E7E" w14:textId="77777777" w:rsidR="00367E86" w:rsidRDefault="00367E86" w:rsidP="00FA52CA">
            <w:pPr>
              <w:rPr>
                <w:b/>
                <w:bCs/>
                <w:sz w:val="18"/>
                <w:szCs w:val="18"/>
                <w:lang w:val="en-US"/>
              </w:rPr>
            </w:pPr>
          </w:p>
          <w:p w14:paraId="1149D001" w14:textId="77777777" w:rsidR="00367E86" w:rsidRDefault="00367E86" w:rsidP="00FA52CA">
            <w:pPr>
              <w:rPr>
                <w:b/>
                <w:bCs/>
                <w:sz w:val="18"/>
                <w:szCs w:val="18"/>
                <w:lang w:val="en-US"/>
              </w:rPr>
            </w:pPr>
          </w:p>
          <w:p w14:paraId="2ECB6CAC" w14:textId="2D86391D" w:rsidR="00FA52CA" w:rsidRPr="00FA52CA" w:rsidRDefault="00FA52CA" w:rsidP="00FA52CA">
            <w:pPr>
              <w:rPr>
                <w:b/>
                <w:bCs/>
                <w:sz w:val="18"/>
                <w:szCs w:val="18"/>
                <w:lang w:val="en-US"/>
              </w:rPr>
            </w:pPr>
            <w:r w:rsidRPr="00FA52CA">
              <w:rPr>
                <w:b/>
                <w:bCs/>
                <w:sz w:val="18"/>
                <w:szCs w:val="18"/>
                <w:lang w:val="en-US"/>
              </w:rPr>
              <w:t xml:space="preserve">Activity 1.2. </w:t>
            </w:r>
            <w:r w:rsidRPr="00FA52CA">
              <w:rPr>
                <w:sz w:val="18"/>
                <w:szCs w:val="18"/>
                <w:lang w:val="en-US"/>
              </w:rPr>
              <w:t>Develop necessary legislative acts for introducing Green Public Procurement (GPP) criteria for procuring environmentally friendly RAC systems and services and conducting a workshop for procurement staff of the respective institutions; Develop amendments to Georgian law on Ambient Air Protection and in Code of Administrative Offenses for Introduction of a ban on the import of HCFC-based equipment.</w:t>
            </w:r>
          </w:p>
          <w:p w14:paraId="4D14DD26" w14:textId="77777777" w:rsidR="00FA52CA" w:rsidRPr="00FA52CA" w:rsidRDefault="00FA52CA" w:rsidP="00FA52CA">
            <w:pPr>
              <w:rPr>
                <w:b/>
                <w:bCs/>
                <w:sz w:val="18"/>
                <w:szCs w:val="18"/>
                <w:lang w:val="en-US"/>
              </w:rPr>
            </w:pPr>
            <w:r w:rsidRPr="00FA52CA">
              <w:rPr>
                <w:b/>
                <w:bCs/>
                <w:sz w:val="18"/>
                <w:szCs w:val="18"/>
                <w:lang w:val="en-US"/>
              </w:rPr>
              <w:t xml:space="preserve">Activity 1.3. </w:t>
            </w:r>
            <w:r w:rsidRPr="00FA52CA">
              <w:rPr>
                <w:sz w:val="18"/>
                <w:szCs w:val="18"/>
                <w:lang w:val="en-US"/>
              </w:rPr>
              <w:t>Carry out a detailed study on policy options for incentivizing the HCFC reuse management; develop necessary legislative changes as required; Carry out study on feasible infrastructure and business model for R&amp;R</w:t>
            </w:r>
          </w:p>
          <w:p w14:paraId="7FD25DD6" w14:textId="77777777" w:rsidR="00FA52CA" w:rsidRPr="00FA52CA" w:rsidRDefault="00FA52CA" w:rsidP="00FA52CA">
            <w:pPr>
              <w:rPr>
                <w:b/>
                <w:bCs/>
                <w:sz w:val="18"/>
                <w:szCs w:val="18"/>
                <w:lang w:val="en-US"/>
              </w:rPr>
            </w:pPr>
            <w:r w:rsidRPr="00FA52CA">
              <w:rPr>
                <w:b/>
                <w:bCs/>
                <w:sz w:val="18"/>
                <w:szCs w:val="18"/>
                <w:lang w:val="en-US"/>
              </w:rPr>
              <w:t xml:space="preserve">Activity 1.5. </w:t>
            </w:r>
            <w:r w:rsidRPr="00FA52CA">
              <w:rPr>
                <w:sz w:val="18"/>
                <w:szCs w:val="18"/>
                <w:lang w:val="en-US"/>
              </w:rPr>
              <w:t>Developing professional qualification standards for the Level 4 Technicians; introduce practical exam in the certification process</w:t>
            </w:r>
            <w:r w:rsidRPr="00FA52CA">
              <w:rPr>
                <w:b/>
                <w:bCs/>
                <w:sz w:val="18"/>
                <w:szCs w:val="18"/>
                <w:lang w:val="en-US"/>
              </w:rPr>
              <w:t xml:space="preserve"> </w:t>
            </w:r>
          </w:p>
          <w:p w14:paraId="693A87A6" w14:textId="77777777" w:rsidR="00C90117" w:rsidRDefault="00C90117" w:rsidP="00FA52CA">
            <w:pPr>
              <w:rPr>
                <w:b/>
                <w:bCs/>
                <w:sz w:val="18"/>
                <w:szCs w:val="18"/>
                <w:lang w:val="en-US"/>
              </w:rPr>
            </w:pPr>
          </w:p>
          <w:p w14:paraId="051387D1" w14:textId="77777777" w:rsidR="00C90117" w:rsidRDefault="00C90117" w:rsidP="00FA52CA">
            <w:pPr>
              <w:rPr>
                <w:b/>
                <w:bCs/>
                <w:sz w:val="18"/>
                <w:szCs w:val="18"/>
                <w:lang w:val="en-US"/>
              </w:rPr>
            </w:pPr>
          </w:p>
          <w:p w14:paraId="37CAD498" w14:textId="0EF917D2" w:rsidR="00FA52CA" w:rsidRPr="00FA52CA" w:rsidRDefault="00FA52CA" w:rsidP="00FA52CA">
            <w:pPr>
              <w:rPr>
                <w:b/>
                <w:bCs/>
                <w:sz w:val="18"/>
                <w:szCs w:val="18"/>
                <w:lang w:val="en-US"/>
              </w:rPr>
            </w:pPr>
            <w:r w:rsidRPr="00FA52CA">
              <w:rPr>
                <w:b/>
                <w:bCs/>
                <w:sz w:val="18"/>
                <w:szCs w:val="18"/>
                <w:lang w:val="en-US"/>
              </w:rPr>
              <w:t xml:space="preserve">Activity 1.7. </w:t>
            </w:r>
            <w:r w:rsidRPr="00FA52CA">
              <w:rPr>
                <w:sz w:val="18"/>
                <w:szCs w:val="18"/>
                <w:lang w:val="en-US"/>
              </w:rPr>
              <w:t>Conduct a study on policy options for incentivizing import and use of zero-low GWP based RAC systems and develop necessary legislative changes as required</w:t>
            </w:r>
            <w:r w:rsidRPr="00FA52CA">
              <w:rPr>
                <w:b/>
                <w:bCs/>
                <w:sz w:val="18"/>
                <w:szCs w:val="18"/>
                <w:lang w:val="en-US"/>
              </w:rPr>
              <w:t>.</w:t>
            </w:r>
          </w:p>
          <w:p w14:paraId="1816E7E5" w14:textId="77777777" w:rsidR="00367E86" w:rsidRDefault="00367E86" w:rsidP="00FA52CA">
            <w:pPr>
              <w:jc w:val="left"/>
              <w:rPr>
                <w:b/>
                <w:bCs/>
                <w:sz w:val="18"/>
                <w:szCs w:val="18"/>
                <w:lang w:val="en-US"/>
              </w:rPr>
            </w:pPr>
          </w:p>
          <w:p w14:paraId="7271E17B" w14:textId="3BFA9AF1" w:rsidR="00D8578E" w:rsidRPr="00FA52CA" w:rsidRDefault="00FA52CA" w:rsidP="00FA52CA">
            <w:pPr>
              <w:jc w:val="left"/>
              <w:rPr>
                <w:sz w:val="18"/>
                <w:szCs w:val="18"/>
                <w:lang w:val="en-US"/>
              </w:rPr>
            </w:pPr>
            <w:r w:rsidRPr="00FA52CA">
              <w:rPr>
                <w:b/>
                <w:bCs/>
                <w:sz w:val="18"/>
                <w:szCs w:val="18"/>
                <w:lang w:val="en-US"/>
              </w:rPr>
              <w:t xml:space="preserve">Activity 1.8. </w:t>
            </w:r>
            <w:r w:rsidRPr="00FA52CA">
              <w:rPr>
                <w:sz w:val="18"/>
                <w:szCs w:val="18"/>
                <w:lang w:val="en-US"/>
              </w:rPr>
              <w:t>Update the Standards for Safety and Environmental Requirements</w:t>
            </w:r>
          </w:p>
        </w:tc>
        <w:tc>
          <w:tcPr>
            <w:tcW w:w="3554" w:type="dxa"/>
            <w:shd w:val="clear" w:color="auto" w:fill="auto"/>
          </w:tcPr>
          <w:p w14:paraId="6F4CBCF3" w14:textId="0EFB407F" w:rsidR="007E0704" w:rsidRPr="00E25BE6" w:rsidRDefault="00E25BE6" w:rsidP="004A6017">
            <w:pPr>
              <w:jc w:val="left"/>
              <w:rPr>
                <w:sz w:val="18"/>
                <w:szCs w:val="18"/>
                <w:lang w:val="en-US"/>
              </w:rPr>
            </w:pPr>
            <w:r>
              <w:rPr>
                <w:sz w:val="18"/>
                <w:szCs w:val="18"/>
                <w:lang w:val="en-US"/>
              </w:rPr>
              <w:lastRenderedPageBreak/>
              <w:t>1.1.</w:t>
            </w:r>
            <w:r w:rsidR="00700590" w:rsidRPr="00E25BE6">
              <w:rPr>
                <w:sz w:val="18"/>
                <w:szCs w:val="18"/>
                <w:lang w:val="en-US"/>
              </w:rPr>
              <w:t xml:space="preserve"> </w:t>
            </w:r>
            <w:r w:rsidR="00F715A0" w:rsidRPr="00E25BE6">
              <w:rPr>
                <w:sz w:val="18"/>
                <w:szCs w:val="18"/>
                <w:lang w:val="en-US"/>
              </w:rPr>
              <w:t>T</w:t>
            </w:r>
            <w:r w:rsidR="002D6DB4" w:rsidRPr="00E25BE6">
              <w:rPr>
                <w:sz w:val="18"/>
                <w:szCs w:val="18"/>
                <w:lang w:val="en-US"/>
              </w:rPr>
              <w:t>he web-based electronic reporting and permit system for HCFC import and consumption</w:t>
            </w:r>
            <w:r w:rsidR="00F715A0" w:rsidRPr="00E25BE6">
              <w:rPr>
                <w:sz w:val="18"/>
                <w:szCs w:val="18"/>
                <w:lang w:val="en-US"/>
              </w:rPr>
              <w:t xml:space="preserve"> is completed.</w:t>
            </w:r>
          </w:p>
          <w:p w14:paraId="0DDB6D67" w14:textId="03460679" w:rsidR="00886773" w:rsidRDefault="007E0704" w:rsidP="004A6017">
            <w:pPr>
              <w:jc w:val="left"/>
              <w:rPr>
                <w:sz w:val="18"/>
                <w:szCs w:val="18"/>
                <w:lang w:val="en-US"/>
              </w:rPr>
            </w:pPr>
            <w:bookmarkStart w:id="5" w:name="_Hlk177481371"/>
            <w:bookmarkStart w:id="6" w:name="_Hlk180598223"/>
            <w:r>
              <w:rPr>
                <w:sz w:val="18"/>
                <w:szCs w:val="18"/>
                <w:lang w:val="en-US"/>
              </w:rPr>
              <w:t xml:space="preserve">After ratification of the Kigali </w:t>
            </w:r>
            <w:r w:rsidR="00886773">
              <w:rPr>
                <w:sz w:val="18"/>
                <w:szCs w:val="18"/>
                <w:lang w:val="en-US"/>
              </w:rPr>
              <w:t>amendment</w:t>
            </w:r>
            <w:r>
              <w:rPr>
                <w:sz w:val="18"/>
                <w:szCs w:val="18"/>
                <w:lang w:val="en-US"/>
              </w:rPr>
              <w:t xml:space="preserve"> i</w:t>
            </w:r>
            <w:r w:rsidR="00886773">
              <w:rPr>
                <w:sz w:val="18"/>
                <w:szCs w:val="18"/>
                <w:lang w:val="en-US"/>
              </w:rPr>
              <w:t>n Georgia on 05 May 2023,</w:t>
            </w:r>
            <w:r w:rsidR="00886773" w:rsidRPr="00886773">
              <w:rPr>
                <w:sz w:val="18"/>
                <w:szCs w:val="18"/>
                <w:lang w:val="en-US"/>
              </w:rPr>
              <w:t xml:space="preserve"> package of legislative changes was adopted</w:t>
            </w:r>
            <w:r w:rsidR="00886773">
              <w:rPr>
                <w:sz w:val="18"/>
                <w:szCs w:val="18"/>
                <w:lang w:val="en-US"/>
              </w:rPr>
              <w:t xml:space="preserve"> </w:t>
            </w:r>
            <w:r w:rsidR="00886773" w:rsidRPr="004A6017">
              <w:rPr>
                <w:sz w:val="18"/>
                <w:szCs w:val="18"/>
                <w:lang w:val="en-US"/>
              </w:rPr>
              <w:t xml:space="preserve">on 16 </w:t>
            </w:r>
            <w:proofErr w:type="gramStart"/>
            <w:r w:rsidR="00886773" w:rsidRPr="004A6017">
              <w:rPr>
                <w:sz w:val="18"/>
                <w:szCs w:val="18"/>
                <w:lang w:val="en-US"/>
              </w:rPr>
              <w:t>June,</w:t>
            </w:r>
            <w:proofErr w:type="gramEnd"/>
            <w:r w:rsidR="00886773" w:rsidRPr="004A6017">
              <w:rPr>
                <w:sz w:val="18"/>
                <w:szCs w:val="18"/>
                <w:lang w:val="en-US"/>
              </w:rPr>
              <w:t xml:space="preserve"> 2023</w:t>
            </w:r>
            <w:bookmarkEnd w:id="5"/>
            <w:r w:rsidR="00886773" w:rsidRPr="004A6017">
              <w:rPr>
                <w:sz w:val="18"/>
                <w:szCs w:val="18"/>
                <w:lang w:val="en-US"/>
              </w:rPr>
              <w:t xml:space="preserve">. According to </w:t>
            </w:r>
            <w:r w:rsidR="000F0764" w:rsidRPr="004A6017">
              <w:rPr>
                <w:sz w:val="18"/>
                <w:szCs w:val="18"/>
                <w:lang w:val="en-US"/>
              </w:rPr>
              <w:t>these legislative changes</w:t>
            </w:r>
            <w:r w:rsidR="00886773" w:rsidRPr="004A6017">
              <w:rPr>
                <w:sz w:val="18"/>
                <w:szCs w:val="18"/>
                <w:lang w:val="en-US"/>
              </w:rPr>
              <w:t xml:space="preserve"> using the </w:t>
            </w:r>
            <w:r w:rsidR="00886773" w:rsidRPr="00FA52CA">
              <w:rPr>
                <w:sz w:val="18"/>
                <w:szCs w:val="18"/>
                <w:lang w:val="en-US"/>
              </w:rPr>
              <w:t>web-based electronic reporting and permit system</w:t>
            </w:r>
            <w:r w:rsidR="000F0764">
              <w:rPr>
                <w:sz w:val="18"/>
                <w:szCs w:val="18"/>
                <w:lang w:val="en-US"/>
              </w:rPr>
              <w:t xml:space="preserve"> is in force since January 2024. </w:t>
            </w:r>
            <w:bookmarkEnd w:id="6"/>
            <w:r w:rsidR="00700590" w:rsidRPr="00700590">
              <w:rPr>
                <w:sz w:val="18"/>
                <w:szCs w:val="18"/>
                <w:lang w:val="en-US"/>
              </w:rPr>
              <w:t>As th</w:t>
            </w:r>
            <w:r w:rsidR="000F0764" w:rsidRPr="00700590">
              <w:rPr>
                <w:sz w:val="18"/>
                <w:szCs w:val="18"/>
                <w:lang w:val="en-US"/>
              </w:rPr>
              <w:t xml:space="preserve">e </w:t>
            </w:r>
            <w:r w:rsidR="00700590" w:rsidRPr="00700590">
              <w:rPr>
                <w:sz w:val="18"/>
                <w:szCs w:val="18"/>
                <w:lang w:val="en-US"/>
              </w:rPr>
              <w:t>web-based</w:t>
            </w:r>
            <w:r w:rsidR="00F70767">
              <w:rPr>
                <w:sz w:val="18"/>
                <w:szCs w:val="18"/>
                <w:lang w:val="en-US"/>
              </w:rPr>
              <w:t xml:space="preserve"> electronic</w:t>
            </w:r>
            <w:r w:rsidR="000F0764" w:rsidRPr="00700590">
              <w:rPr>
                <w:sz w:val="18"/>
                <w:szCs w:val="18"/>
                <w:lang w:val="en-US"/>
              </w:rPr>
              <w:t xml:space="preserve"> system</w:t>
            </w:r>
            <w:r w:rsidR="00700590" w:rsidRPr="00700590">
              <w:rPr>
                <w:sz w:val="18"/>
                <w:szCs w:val="18"/>
                <w:lang w:val="en-US"/>
              </w:rPr>
              <w:t xml:space="preserve"> is intensively used since the beginning of this year, with </w:t>
            </w:r>
            <w:proofErr w:type="spellStart"/>
            <w:r w:rsidR="00700590" w:rsidRPr="00700590">
              <w:rPr>
                <w:sz w:val="18"/>
                <w:szCs w:val="18"/>
                <w:lang w:val="en-US"/>
              </w:rPr>
              <w:t>NoU’s</w:t>
            </w:r>
            <w:proofErr w:type="spellEnd"/>
            <w:r w:rsidR="00700590" w:rsidRPr="00700590">
              <w:rPr>
                <w:sz w:val="18"/>
                <w:szCs w:val="18"/>
                <w:lang w:val="en-US"/>
              </w:rPr>
              <w:t xml:space="preserve"> request it</w:t>
            </w:r>
            <w:r w:rsidR="000F0764" w:rsidRPr="00700590">
              <w:rPr>
                <w:sz w:val="18"/>
                <w:szCs w:val="18"/>
                <w:lang w:val="en-US"/>
              </w:rPr>
              <w:t xml:space="preserve"> </w:t>
            </w:r>
            <w:r w:rsidR="00700590" w:rsidRPr="00700590">
              <w:rPr>
                <w:sz w:val="18"/>
                <w:szCs w:val="18"/>
                <w:lang w:val="en-US"/>
              </w:rPr>
              <w:t xml:space="preserve">is intensively observed, to collect all the needed changes for sophistication of the System. </w:t>
            </w:r>
            <w:r w:rsidR="0062335F">
              <w:rPr>
                <w:sz w:val="18"/>
                <w:szCs w:val="18"/>
                <w:lang w:val="en-US"/>
              </w:rPr>
              <w:t>C</w:t>
            </w:r>
            <w:r w:rsidR="00700590" w:rsidRPr="00700590">
              <w:rPr>
                <w:sz w:val="18"/>
                <w:szCs w:val="18"/>
                <w:lang w:val="en-US"/>
              </w:rPr>
              <w:t xml:space="preserve">hanges </w:t>
            </w:r>
            <w:r w:rsidR="0062335F">
              <w:rPr>
                <w:sz w:val="18"/>
                <w:szCs w:val="18"/>
                <w:lang w:val="en-US"/>
              </w:rPr>
              <w:t>might be needed for the</w:t>
            </w:r>
            <w:r w:rsidR="00700590" w:rsidRPr="00700590">
              <w:rPr>
                <w:sz w:val="18"/>
                <w:szCs w:val="18"/>
                <w:lang w:val="en-US"/>
              </w:rPr>
              <w:t xml:space="preserve"> system upgrade. </w:t>
            </w:r>
          </w:p>
          <w:p w14:paraId="61C85484" w14:textId="77777777" w:rsidR="00700590" w:rsidRDefault="00700590" w:rsidP="004A6017">
            <w:pPr>
              <w:jc w:val="left"/>
              <w:rPr>
                <w:sz w:val="18"/>
                <w:szCs w:val="18"/>
                <w:lang w:val="en-US"/>
              </w:rPr>
            </w:pPr>
          </w:p>
          <w:p w14:paraId="3FFCE720" w14:textId="30730B60" w:rsidR="00700590" w:rsidRDefault="00B960F1" w:rsidP="004A6017">
            <w:pPr>
              <w:jc w:val="left"/>
              <w:rPr>
                <w:sz w:val="18"/>
                <w:szCs w:val="18"/>
                <w:lang w:val="en-US"/>
              </w:rPr>
            </w:pPr>
            <w:r>
              <w:rPr>
                <w:sz w:val="18"/>
                <w:szCs w:val="18"/>
                <w:lang w:val="en-US"/>
              </w:rPr>
              <w:t xml:space="preserve">20 </w:t>
            </w:r>
            <w:r w:rsidR="00700590">
              <w:rPr>
                <w:sz w:val="18"/>
                <w:szCs w:val="18"/>
                <w:lang w:val="en-US"/>
              </w:rPr>
              <w:t xml:space="preserve">trainings had been conducted </w:t>
            </w:r>
            <w:r w:rsidR="00700590" w:rsidRPr="00FA52CA">
              <w:rPr>
                <w:sz w:val="18"/>
                <w:szCs w:val="18"/>
                <w:lang w:val="en-US"/>
              </w:rPr>
              <w:t>for end-users</w:t>
            </w:r>
            <w:r>
              <w:rPr>
                <w:sz w:val="18"/>
                <w:szCs w:val="18"/>
                <w:lang w:val="en-US"/>
              </w:rPr>
              <w:t xml:space="preserve">, environmental </w:t>
            </w:r>
            <w:r w:rsidR="00E8270D">
              <w:rPr>
                <w:sz w:val="18"/>
                <w:szCs w:val="18"/>
                <w:lang w:val="en-US"/>
              </w:rPr>
              <w:t xml:space="preserve">inspectors </w:t>
            </w:r>
            <w:r w:rsidR="00E8270D" w:rsidRPr="00FA52CA">
              <w:rPr>
                <w:sz w:val="18"/>
                <w:szCs w:val="18"/>
                <w:lang w:val="en-US"/>
              </w:rPr>
              <w:t>and</w:t>
            </w:r>
            <w:r w:rsidR="00700590" w:rsidRPr="00FA52CA">
              <w:rPr>
                <w:sz w:val="18"/>
                <w:szCs w:val="18"/>
                <w:lang w:val="en-US"/>
              </w:rPr>
              <w:t xml:space="preserve"> technicians for using the electronic reporting tool</w:t>
            </w:r>
            <w:r w:rsidR="00700590" w:rsidRPr="004A6017">
              <w:rPr>
                <w:sz w:val="18"/>
                <w:szCs w:val="18"/>
                <w:lang w:val="en-US"/>
              </w:rPr>
              <w:t xml:space="preserve">.  </w:t>
            </w:r>
            <w:r w:rsidR="00700590" w:rsidRPr="00700590">
              <w:rPr>
                <w:sz w:val="18"/>
                <w:szCs w:val="18"/>
                <w:lang w:val="en-US"/>
              </w:rPr>
              <w:t>In Total</w:t>
            </w:r>
            <w:r w:rsidR="00700590" w:rsidRPr="004A6017">
              <w:rPr>
                <w:sz w:val="18"/>
                <w:szCs w:val="18"/>
                <w:lang w:val="en-US"/>
              </w:rPr>
              <w:t xml:space="preserve"> </w:t>
            </w:r>
            <w:r>
              <w:rPr>
                <w:sz w:val="18"/>
                <w:szCs w:val="18"/>
                <w:lang w:val="en-US"/>
              </w:rPr>
              <w:t>3</w:t>
            </w:r>
            <w:r w:rsidR="00A17635">
              <w:rPr>
                <w:sz w:val="18"/>
                <w:szCs w:val="18"/>
                <w:lang w:val="en-US"/>
              </w:rPr>
              <w:t>3</w:t>
            </w:r>
            <w:r w:rsidR="00824C15">
              <w:rPr>
                <w:sz w:val="18"/>
                <w:szCs w:val="18"/>
                <w:lang w:val="en-US"/>
              </w:rPr>
              <w:t>6</w:t>
            </w:r>
            <w:r w:rsidR="00700590" w:rsidRPr="00700590">
              <w:rPr>
                <w:sz w:val="18"/>
                <w:szCs w:val="18"/>
                <w:lang w:val="en-US"/>
              </w:rPr>
              <w:t xml:space="preserve"> persons were </w:t>
            </w:r>
            <w:r w:rsidRPr="00700590">
              <w:rPr>
                <w:sz w:val="18"/>
                <w:szCs w:val="18"/>
                <w:lang w:val="en-US"/>
              </w:rPr>
              <w:t>trained</w:t>
            </w:r>
            <w:r w:rsidR="00700590" w:rsidRPr="00700590">
              <w:rPr>
                <w:sz w:val="18"/>
                <w:szCs w:val="18"/>
                <w:lang w:val="en-US"/>
              </w:rPr>
              <w:t>.</w:t>
            </w:r>
            <w:r w:rsidR="00A17635">
              <w:rPr>
                <w:sz w:val="18"/>
                <w:szCs w:val="18"/>
                <w:lang w:val="en-US"/>
              </w:rPr>
              <w:t xml:space="preserve"> Among them</w:t>
            </w:r>
            <w:r w:rsidR="00E8270D">
              <w:rPr>
                <w:sz w:val="18"/>
                <w:szCs w:val="18"/>
                <w:lang w:val="en-US"/>
              </w:rPr>
              <w:t xml:space="preserve"> </w:t>
            </w:r>
            <w:r>
              <w:rPr>
                <w:sz w:val="18"/>
                <w:szCs w:val="18"/>
                <w:lang w:val="en-US"/>
              </w:rPr>
              <w:t>5</w:t>
            </w:r>
            <w:r w:rsidR="00E8270D">
              <w:rPr>
                <w:sz w:val="18"/>
                <w:szCs w:val="18"/>
                <w:lang w:val="en-US"/>
              </w:rPr>
              <w:t>5</w:t>
            </w:r>
            <w:r w:rsidR="00A17635">
              <w:rPr>
                <w:sz w:val="18"/>
                <w:szCs w:val="18"/>
                <w:lang w:val="en-US"/>
              </w:rPr>
              <w:t xml:space="preserve"> females </w:t>
            </w:r>
            <w:r w:rsidR="00E8270D">
              <w:rPr>
                <w:sz w:val="18"/>
                <w:szCs w:val="18"/>
                <w:lang w:val="en-US"/>
              </w:rPr>
              <w:t>(16 %)</w:t>
            </w:r>
            <w:r w:rsidR="00367E86">
              <w:rPr>
                <w:sz w:val="18"/>
                <w:szCs w:val="18"/>
                <w:lang w:val="en-US"/>
              </w:rPr>
              <w:t xml:space="preserve">. </w:t>
            </w:r>
          </w:p>
          <w:p w14:paraId="2B3BDBC1" w14:textId="77777777" w:rsidR="006B7207" w:rsidRDefault="006B7207" w:rsidP="004A6017">
            <w:pPr>
              <w:jc w:val="left"/>
              <w:rPr>
                <w:sz w:val="18"/>
                <w:szCs w:val="18"/>
                <w:lang w:val="en-US"/>
              </w:rPr>
            </w:pPr>
          </w:p>
          <w:p w14:paraId="3041F4BE" w14:textId="77777777" w:rsidR="006B7207" w:rsidRDefault="006B7207" w:rsidP="004A6017">
            <w:pPr>
              <w:jc w:val="left"/>
              <w:rPr>
                <w:sz w:val="18"/>
                <w:szCs w:val="18"/>
                <w:lang w:val="en-US"/>
              </w:rPr>
            </w:pPr>
          </w:p>
          <w:p w14:paraId="39B70B93" w14:textId="77777777" w:rsidR="006B7207" w:rsidRDefault="006B7207" w:rsidP="004A6017">
            <w:pPr>
              <w:jc w:val="left"/>
              <w:rPr>
                <w:sz w:val="18"/>
                <w:szCs w:val="18"/>
                <w:lang w:val="en-US"/>
              </w:rPr>
            </w:pPr>
          </w:p>
          <w:p w14:paraId="4AA2D75A" w14:textId="77777777" w:rsidR="006B7207" w:rsidRDefault="006B7207" w:rsidP="004A6017">
            <w:pPr>
              <w:jc w:val="left"/>
              <w:rPr>
                <w:sz w:val="18"/>
                <w:szCs w:val="18"/>
                <w:lang w:val="en-US"/>
              </w:rPr>
            </w:pPr>
          </w:p>
          <w:p w14:paraId="1B31423C" w14:textId="77777777" w:rsidR="006B7207" w:rsidRDefault="006B7207" w:rsidP="004A6017">
            <w:pPr>
              <w:jc w:val="left"/>
              <w:rPr>
                <w:sz w:val="18"/>
                <w:szCs w:val="18"/>
                <w:lang w:val="en-US"/>
              </w:rPr>
            </w:pPr>
          </w:p>
          <w:p w14:paraId="1F21340E" w14:textId="77777777" w:rsidR="006B7207" w:rsidRPr="00700590" w:rsidRDefault="006B7207" w:rsidP="004A6017">
            <w:pPr>
              <w:jc w:val="left"/>
              <w:rPr>
                <w:sz w:val="18"/>
                <w:szCs w:val="18"/>
                <w:lang w:val="en-US"/>
              </w:rPr>
            </w:pPr>
          </w:p>
          <w:p w14:paraId="2B97B09A" w14:textId="643B9B2D" w:rsidR="00700590" w:rsidRPr="00700590" w:rsidRDefault="00700590" w:rsidP="004A6017">
            <w:pPr>
              <w:jc w:val="left"/>
              <w:rPr>
                <w:sz w:val="18"/>
                <w:szCs w:val="18"/>
                <w:lang w:val="en-US"/>
              </w:rPr>
            </w:pPr>
          </w:p>
          <w:p w14:paraId="0C519B11" w14:textId="48883D4A" w:rsidR="00F715A0" w:rsidRPr="008E6C50" w:rsidRDefault="000F380E" w:rsidP="000F380E">
            <w:pPr>
              <w:jc w:val="left"/>
              <w:rPr>
                <w:sz w:val="18"/>
                <w:szCs w:val="18"/>
                <w:lang w:val="en-US"/>
              </w:rPr>
            </w:pPr>
            <w:r w:rsidRPr="000F380E">
              <w:rPr>
                <w:sz w:val="18"/>
                <w:szCs w:val="18"/>
                <w:lang w:val="en-US"/>
              </w:rPr>
              <w:t>1.</w:t>
            </w:r>
            <w:r>
              <w:rPr>
                <w:sz w:val="18"/>
                <w:szCs w:val="18"/>
                <w:lang w:val="en-US"/>
              </w:rPr>
              <w:t xml:space="preserve">2. </w:t>
            </w:r>
            <w:r w:rsidR="00E25BE6" w:rsidRPr="008E6C50">
              <w:rPr>
                <w:sz w:val="18"/>
                <w:szCs w:val="18"/>
                <w:lang w:val="en-US"/>
              </w:rPr>
              <w:t>Developing the necessary legislative acts for introducing Green Public Procurement (GPP) criteria for procuring environmentally friendly RAC systems is in progress. Will be finalized by the end of November 202</w:t>
            </w:r>
            <w:r w:rsidR="006F5F0D" w:rsidRPr="008E6C50">
              <w:rPr>
                <w:sz w:val="18"/>
                <w:szCs w:val="18"/>
                <w:lang w:val="en-US"/>
              </w:rPr>
              <w:t>4</w:t>
            </w:r>
            <w:r w:rsidR="00E25BE6" w:rsidRPr="008E6C50">
              <w:rPr>
                <w:sz w:val="18"/>
                <w:szCs w:val="18"/>
                <w:lang w:val="en-US"/>
              </w:rPr>
              <w:t>.</w:t>
            </w:r>
          </w:p>
          <w:p w14:paraId="39C2BECA" w14:textId="77777777" w:rsidR="00E25BE6" w:rsidRDefault="00E25BE6" w:rsidP="004A6017">
            <w:pPr>
              <w:jc w:val="left"/>
              <w:rPr>
                <w:sz w:val="18"/>
                <w:szCs w:val="18"/>
                <w:lang w:val="en-US"/>
              </w:rPr>
            </w:pPr>
          </w:p>
          <w:p w14:paraId="3FB26DF8" w14:textId="77777777" w:rsidR="00E25BE6" w:rsidRDefault="00E25BE6" w:rsidP="004A6017">
            <w:pPr>
              <w:jc w:val="left"/>
              <w:rPr>
                <w:sz w:val="18"/>
                <w:szCs w:val="18"/>
                <w:lang w:val="en-US"/>
              </w:rPr>
            </w:pPr>
          </w:p>
          <w:p w14:paraId="79BA4A5B" w14:textId="77777777" w:rsidR="00E25BE6" w:rsidRDefault="00E25BE6" w:rsidP="004A6017">
            <w:pPr>
              <w:jc w:val="left"/>
              <w:rPr>
                <w:sz w:val="18"/>
                <w:szCs w:val="18"/>
                <w:lang w:val="en-US"/>
              </w:rPr>
            </w:pPr>
          </w:p>
          <w:p w14:paraId="37470AD5" w14:textId="77777777" w:rsidR="00E25BE6" w:rsidRDefault="00E25BE6" w:rsidP="004A6017">
            <w:pPr>
              <w:jc w:val="left"/>
              <w:rPr>
                <w:sz w:val="18"/>
                <w:szCs w:val="18"/>
                <w:lang w:val="en-US"/>
              </w:rPr>
            </w:pPr>
          </w:p>
          <w:p w14:paraId="6E0D6908" w14:textId="77777777" w:rsidR="00E25BE6" w:rsidRDefault="00E25BE6" w:rsidP="004A6017">
            <w:pPr>
              <w:jc w:val="left"/>
              <w:rPr>
                <w:sz w:val="18"/>
                <w:szCs w:val="18"/>
                <w:lang w:val="en-US"/>
              </w:rPr>
            </w:pPr>
          </w:p>
          <w:p w14:paraId="2ED29333" w14:textId="77777777" w:rsidR="00E25BE6" w:rsidRDefault="00E25BE6" w:rsidP="004A6017">
            <w:pPr>
              <w:jc w:val="left"/>
              <w:rPr>
                <w:sz w:val="18"/>
                <w:szCs w:val="18"/>
                <w:lang w:val="en-US"/>
              </w:rPr>
            </w:pPr>
          </w:p>
          <w:p w14:paraId="6045D98A" w14:textId="77777777" w:rsidR="00E25BE6" w:rsidRDefault="00E25BE6" w:rsidP="004A6017">
            <w:pPr>
              <w:jc w:val="left"/>
              <w:rPr>
                <w:sz w:val="18"/>
                <w:szCs w:val="18"/>
                <w:lang w:val="en-US"/>
              </w:rPr>
            </w:pPr>
          </w:p>
          <w:p w14:paraId="006AE324" w14:textId="77777777" w:rsidR="00E25BE6" w:rsidRDefault="00E25BE6" w:rsidP="004A6017">
            <w:pPr>
              <w:jc w:val="left"/>
              <w:rPr>
                <w:sz w:val="18"/>
                <w:szCs w:val="18"/>
                <w:lang w:val="en-US"/>
              </w:rPr>
            </w:pPr>
          </w:p>
          <w:p w14:paraId="39F91592" w14:textId="77777777" w:rsidR="00E25BE6" w:rsidRDefault="00E25BE6" w:rsidP="004A6017">
            <w:pPr>
              <w:jc w:val="left"/>
              <w:rPr>
                <w:sz w:val="18"/>
                <w:szCs w:val="18"/>
                <w:lang w:val="en-US"/>
              </w:rPr>
            </w:pPr>
          </w:p>
          <w:p w14:paraId="329BA6F6" w14:textId="77777777" w:rsidR="00E25BE6" w:rsidRDefault="00E25BE6" w:rsidP="004A6017">
            <w:pPr>
              <w:jc w:val="left"/>
              <w:rPr>
                <w:sz w:val="18"/>
                <w:szCs w:val="18"/>
                <w:lang w:val="en-US"/>
              </w:rPr>
            </w:pPr>
          </w:p>
          <w:p w14:paraId="4CE90C11" w14:textId="69C5B338" w:rsidR="00E25BE6" w:rsidRPr="004A6017" w:rsidRDefault="00E25BE6" w:rsidP="004A6017">
            <w:pPr>
              <w:jc w:val="left"/>
              <w:rPr>
                <w:sz w:val="18"/>
                <w:szCs w:val="18"/>
                <w:lang w:val="en-US"/>
              </w:rPr>
            </w:pPr>
            <w:bookmarkStart w:id="7" w:name="_Hlk180489405"/>
            <w:r>
              <w:rPr>
                <w:sz w:val="18"/>
                <w:szCs w:val="18"/>
                <w:lang w:val="en-US"/>
              </w:rPr>
              <w:t>1.3. D</w:t>
            </w:r>
            <w:r w:rsidRPr="00FA52CA">
              <w:rPr>
                <w:sz w:val="18"/>
                <w:szCs w:val="18"/>
                <w:lang w:val="en-US"/>
              </w:rPr>
              <w:t>etailed study on policy options for incentivizing the HCFC reuse management</w:t>
            </w:r>
            <w:r w:rsidR="00981EB9">
              <w:rPr>
                <w:sz w:val="18"/>
                <w:szCs w:val="18"/>
                <w:lang w:val="en-US"/>
              </w:rPr>
              <w:t xml:space="preserve"> is completed. Necessary legislative amendment package will be developed by the end of </w:t>
            </w:r>
            <w:proofErr w:type="gramStart"/>
            <w:r w:rsidR="00981EB9">
              <w:rPr>
                <w:sz w:val="18"/>
                <w:szCs w:val="18"/>
                <w:lang w:val="en-US"/>
              </w:rPr>
              <w:t>November,</w:t>
            </w:r>
            <w:proofErr w:type="gramEnd"/>
            <w:r w:rsidR="00981EB9">
              <w:rPr>
                <w:sz w:val="18"/>
                <w:szCs w:val="18"/>
                <w:lang w:val="en-US"/>
              </w:rPr>
              <w:t xml:space="preserve"> 202</w:t>
            </w:r>
            <w:r w:rsidR="006F5F0D">
              <w:rPr>
                <w:sz w:val="18"/>
                <w:szCs w:val="18"/>
                <w:lang w:val="en-US"/>
              </w:rPr>
              <w:t>4</w:t>
            </w:r>
            <w:r w:rsidR="00981EB9">
              <w:rPr>
                <w:sz w:val="18"/>
                <w:szCs w:val="18"/>
                <w:lang w:val="en-US"/>
              </w:rPr>
              <w:t xml:space="preserve">. </w:t>
            </w:r>
          </w:p>
          <w:bookmarkEnd w:id="7"/>
          <w:p w14:paraId="64DD42B2" w14:textId="77777777" w:rsidR="00F715A0" w:rsidRDefault="00F715A0" w:rsidP="004A6017">
            <w:pPr>
              <w:jc w:val="left"/>
              <w:rPr>
                <w:sz w:val="18"/>
                <w:szCs w:val="18"/>
                <w:lang w:val="en-US"/>
              </w:rPr>
            </w:pPr>
          </w:p>
          <w:p w14:paraId="217653A8" w14:textId="77777777" w:rsidR="00120525" w:rsidRDefault="00120525" w:rsidP="004A6017">
            <w:pPr>
              <w:jc w:val="left"/>
              <w:rPr>
                <w:sz w:val="18"/>
                <w:szCs w:val="18"/>
                <w:lang w:val="en-US"/>
              </w:rPr>
            </w:pPr>
          </w:p>
          <w:p w14:paraId="271143BA" w14:textId="77777777" w:rsidR="00120525" w:rsidRDefault="00120525" w:rsidP="004A6017">
            <w:pPr>
              <w:jc w:val="left"/>
              <w:rPr>
                <w:sz w:val="18"/>
                <w:szCs w:val="18"/>
                <w:lang w:val="en-US"/>
              </w:rPr>
            </w:pPr>
          </w:p>
          <w:p w14:paraId="77E1754A" w14:textId="77777777" w:rsidR="00120525" w:rsidRDefault="00120525" w:rsidP="004A6017">
            <w:pPr>
              <w:jc w:val="left"/>
              <w:rPr>
                <w:sz w:val="18"/>
                <w:szCs w:val="18"/>
                <w:lang w:val="en-US"/>
              </w:rPr>
            </w:pPr>
            <w:r>
              <w:rPr>
                <w:sz w:val="18"/>
                <w:szCs w:val="18"/>
                <w:lang w:val="en-US"/>
              </w:rPr>
              <w:t>1.5. P</w:t>
            </w:r>
            <w:r w:rsidRPr="00FA52CA">
              <w:rPr>
                <w:sz w:val="18"/>
                <w:szCs w:val="18"/>
                <w:lang w:val="en-US"/>
              </w:rPr>
              <w:t>rofessional qualification standards for the Level 4 Technicians</w:t>
            </w:r>
            <w:r>
              <w:rPr>
                <w:sz w:val="18"/>
                <w:szCs w:val="18"/>
                <w:lang w:val="en-US"/>
              </w:rPr>
              <w:t xml:space="preserve"> </w:t>
            </w:r>
            <w:proofErr w:type="gramStart"/>
            <w:r>
              <w:rPr>
                <w:sz w:val="18"/>
                <w:szCs w:val="18"/>
                <w:lang w:val="en-US"/>
              </w:rPr>
              <w:t>is</w:t>
            </w:r>
            <w:proofErr w:type="gramEnd"/>
            <w:r>
              <w:rPr>
                <w:sz w:val="18"/>
                <w:szCs w:val="18"/>
                <w:lang w:val="en-US"/>
              </w:rPr>
              <w:t xml:space="preserve"> developed in close cooperation with the Skills Development Agency and Ministry of Education; </w:t>
            </w:r>
          </w:p>
          <w:p w14:paraId="584E9D78" w14:textId="5452645F" w:rsidR="00120525" w:rsidRDefault="00120525" w:rsidP="004A6017">
            <w:pPr>
              <w:jc w:val="left"/>
              <w:rPr>
                <w:sz w:val="18"/>
                <w:szCs w:val="18"/>
                <w:lang w:val="en-US"/>
              </w:rPr>
            </w:pPr>
            <w:r>
              <w:rPr>
                <w:sz w:val="18"/>
                <w:szCs w:val="18"/>
                <w:lang w:val="en-US"/>
              </w:rPr>
              <w:t>Tests for the certification exams are developed and certification process is on place.</w:t>
            </w:r>
          </w:p>
          <w:p w14:paraId="53E84E81" w14:textId="5C510ABF" w:rsidR="00120525" w:rsidRDefault="00120525" w:rsidP="004A6017">
            <w:pPr>
              <w:jc w:val="left"/>
              <w:rPr>
                <w:sz w:val="18"/>
                <w:szCs w:val="18"/>
                <w:lang w:val="en-US"/>
              </w:rPr>
            </w:pPr>
            <w:bookmarkStart w:id="8" w:name="_Hlk180489470"/>
            <w:r w:rsidRPr="004A6017">
              <w:rPr>
                <w:sz w:val="18"/>
                <w:szCs w:val="18"/>
                <w:lang w:val="en-US"/>
              </w:rPr>
              <w:t xml:space="preserve">1.7. </w:t>
            </w:r>
            <w:r>
              <w:rPr>
                <w:sz w:val="18"/>
                <w:szCs w:val="18"/>
                <w:lang w:val="en-US"/>
              </w:rPr>
              <w:t>S</w:t>
            </w:r>
            <w:r w:rsidRPr="00FA52CA">
              <w:rPr>
                <w:sz w:val="18"/>
                <w:szCs w:val="18"/>
                <w:lang w:val="en-US"/>
              </w:rPr>
              <w:t xml:space="preserve">tudy on policy options for incentivizing import and use of zero-low GWP based RAC systems </w:t>
            </w:r>
            <w:r>
              <w:rPr>
                <w:sz w:val="18"/>
                <w:szCs w:val="18"/>
                <w:lang w:val="en-US"/>
              </w:rPr>
              <w:t xml:space="preserve">is developed. Necessary legislative amendment package will be developed by the end of </w:t>
            </w:r>
            <w:proofErr w:type="gramStart"/>
            <w:r>
              <w:rPr>
                <w:sz w:val="18"/>
                <w:szCs w:val="18"/>
                <w:lang w:val="en-US"/>
              </w:rPr>
              <w:t>November,</w:t>
            </w:r>
            <w:proofErr w:type="gramEnd"/>
            <w:r>
              <w:rPr>
                <w:sz w:val="18"/>
                <w:szCs w:val="18"/>
                <w:lang w:val="en-US"/>
              </w:rPr>
              <w:t xml:space="preserve"> 202</w:t>
            </w:r>
            <w:r w:rsidR="006F5F0D">
              <w:rPr>
                <w:sz w:val="18"/>
                <w:szCs w:val="18"/>
                <w:lang w:val="en-US"/>
              </w:rPr>
              <w:t>4</w:t>
            </w:r>
            <w:r>
              <w:rPr>
                <w:sz w:val="18"/>
                <w:szCs w:val="18"/>
                <w:lang w:val="en-US"/>
              </w:rPr>
              <w:t>.</w:t>
            </w:r>
          </w:p>
          <w:bookmarkEnd w:id="8"/>
          <w:p w14:paraId="5176E143" w14:textId="77777777" w:rsidR="00367E86" w:rsidRDefault="00367E86" w:rsidP="004A6017">
            <w:pPr>
              <w:jc w:val="left"/>
              <w:rPr>
                <w:sz w:val="18"/>
                <w:szCs w:val="18"/>
                <w:lang w:val="en-US"/>
              </w:rPr>
            </w:pPr>
          </w:p>
          <w:p w14:paraId="5A5AEC4D" w14:textId="26EB3258" w:rsidR="00367E86" w:rsidRPr="004A6017" w:rsidRDefault="00367E86" w:rsidP="004A6017">
            <w:pPr>
              <w:jc w:val="left"/>
              <w:rPr>
                <w:sz w:val="18"/>
                <w:szCs w:val="18"/>
                <w:lang w:val="en-US"/>
              </w:rPr>
            </w:pPr>
            <w:r>
              <w:rPr>
                <w:sz w:val="18"/>
                <w:szCs w:val="18"/>
                <w:lang w:val="en-US"/>
              </w:rPr>
              <w:t xml:space="preserve">1.8. </w:t>
            </w:r>
            <w:r w:rsidRPr="00FA52CA">
              <w:rPr>
                <w:sz w:val="18"/>
                <w:szCs w:val="18"/>
                <w:lang w:val="en-US"/>
              </w:rPr>
              <w:t>Update the Standards for Safety and Environmental Requirements</w:t>
            </w:r>
            <w:r>
              <w:rPr>
                <w:sz w:val="18"/>
                <w:szCs w:val="18"/>
                <w:lang w:val="en-US"/>
              </w:rPr>
              <w:t xml:space="preserve"> is in progress and will be finalized by the end of </w:t>
            </w:r>
            <w:proofErr w:type="gramStart"/>
            <w:r>
              <w:rPr>
                <w:sz w:val="18"/>
                <w:szCs w:val="18"/>
                <w:lang w:val="en-US"/>
              </w:rPr>
              <w:t>October,</w:t>
            </w:r>
            <w:proofErr w:type="gramEnd"/>
            <w:r>
              <w:rPr>
                <w:sz w:val="18"/>
                <w:szCs w:val="18"/>
                <w:lang w:val="en-US"/>
              </w:rPr>
              <w:t xml:space="preserve"> 202</w:t>
            </w:r>
            <w:r w:rsidR="0099639C">
              <w:rPr>
                <w:sz w:val="18"/>
                <w:szCs w:val="18"/>
                <w:lang w:val="en-US"/>
              </w:rPr>
              <w:t>4</w:t>
            </w:r>
            <w:r>
              <w:rPr>
                <w:sz w:val="18"/>
                <w:szCs w:val="18"/>
                <w:lang w:val="en-US"/>
              </w:rPr>
              <w:t>.</w:t>
            </w:r>
          </w:p>
        </w:tc>
        <w:tc>
          <w:tcPr>
            <w:tcW w:w="2071" w:type="dxa"/>
            <w:shd w:val="clear" w:color="auto" w:fill="auto"/>
          </w:tcPr>
          <w:p w14:paraId="6D283457" w14:textId="0BE51AE2" w:rsidR="00981EB9" w:rsidRPr="00367E86" w:rsidRDefault="00367E86" w:rsidP="00367E86">
            <w:pPr>
              <w:jc w:val="left"/>
              <w:rPr>
                <w:sz w:val="18"/>
                <w:szCs w:val="18"/>
              </w:rPr>
            </w:pPr>
            <w:r>
              <w:rPr>
                <w:sz w:val="18"/>
                <w:szCs w:val="18"/>
              </w:rPr>
              <w:lastRenderedPageBreak/>
              <w:t>In progress</w:t>
            </w:r>
          </w:p>
        </w:tc>
      </w:tr>
      <w:tr w:rsidR="00D8578E" w:rsidRPr="00F20DCA" w14:paraId="4E69A1A9" w14:textId="77777777" w:rsidTr="00C85C85">
        <w:tc>
          <w:tcPr>
            <w:tcW w:w="1524" w:type="dxa"/>
            <w:shd w:val="clear" w:color="auto" w:fill="auto"/>
          </w:tcPr>
          <w:p w14:paraId="7D5F6D3A" w14:textId="635EE67E" w:rsidR="00D8578E" w:rsidRPr="00F20DCA" w:rsidRDefault="00C85C85" w:rsidP="00A92397">
            <w:pPr>
              <w:jc w:val="left"/>
              <w:rPr>
                <w:sz w:val="18"/>
                <w:szCs w:val="18"/>
              </w:rPr>
            </w:pPr>
            <w:bookmarkStart w:id="9" w:name="_Hlk177490122"/>
            <w:bookmarkEnd w:id="4"/>
            <w:r w:rsidRPr="00C85C85">
              <w:rPr>
                <w:color w:val="000000"/>
                <w:sz w:val="18"/>
                <w:szCs w:val="18"/>
                <w:lang w:val="en-US" w:eastAsia="ja-JP"/>
              </w:rPr>
              <w:t xml:space="preserve">Component 2: </w:t>
            </w:r>
            <w:bookmarkStart w:id="10" w:name="_Hlk177487193"/>
            <w:r w:rsidRPr="00C85C85">
              <w:rPr>
                <w:color w:val="000000"/>
                <w:sz w:val="18"/>
                <w:szCs w:val="18"/>
                <w:lang w:val="en-US" w:eastAsia="ja-JP"/>
              </w:rPr>
              <w:t>Capacity building training</w:t>
            </w:r>
            <w:bookmarkEnd w:id="10"/>
          </w:p>
        </w:tc>
        <w:tc>
          <w:tcPr>
            <w:tcW w:w="2521" w:type="dxa"/>
            <w:shd w:val="clear" w:color="auto" w:fill="auto"/>
          </w:tcPr>
          <w:p w14:paraId="3A01A3D2" w14:textId="2D067FE3" w:rsidR="00C85C85" w:rsidRPr="003C56C7" w:rsidRDefault="00C85C85" w:rsidP="00C85C85">
            <w:pPr>
              <w:rPr>
                <w:sz w:val="18"/>
                <w:szCs w:val="18"/>
                <w:lang w:val="en-US"/>
              </w:rPr>
            </w:pPr>
            <w:r w:rsidRPr="003C56C7">
              <w:rPr>
                <w:b/>
                <w:bCs/>
                <w:sz w:val="18"/>
                <w:szCs w:val="18"/>
                <w:lang w:val="en-US"/>
              </w:rPr>
              <w:t>Activity 2.1.</w:t>
            </w:r>
            <w:r w:rsidRPr="003C56C7">
              <w:rPr>
                <w:sz w:val="18"/>
                <w:szCs w:val="18"/>
                <w:lang w:val="en-US"/>
              </w:rPr>
              <w:t xml:space="preserve"> Organize 2 Training of Trainers (4-days each) for up to 20 trainers/vocational </w:t>
            </w:r>
            <w:proofErr w:type="gramStart"/>
            <w:r w:rsidRPr="003C56C7">
              <w:rPr>
                <w:sz w:val="18"/>
                <w:szCs w:val="18"/>
                <w:lang w:val="en-US"/>
              </w:rPr>
              <w:t>school teachers</w:t>
            </w:r>
            <w:proofErr w:type="gramEnd"/>
            <w:r w:rsidRPr="003C56C7">
              <w:rPr>
                <w:sz w:val="18"/>
                <w:szCs w:val="18"/>
                <w:lang w:val="en-US"/>
              </w:rPr>
              <w:t xml:space="preserve"> on safe use and handling of zero-low GWP refrigerants and energy efficiency improvements of RAC equipment </w:t>
            </w:r>
          </w:p>
          <w:p w14:paraId="6BF66F5A" w14:textId="77777777" w:rsidR="00C85C85" w:rsidRPr="003C56C7" w:rsidRDefault="00C85C85" w:rsidP="00C85C85">
            <w:pPr>
              <w:rPr>
                <w:sz w:val="18"/>
                <w:szCs w:val="18"/>
                <w:lang w:val="en-US"/>
              </w:rPr>
            </w:pPr>
            <w:r w:rsidRPr="003C56C7">
              <w:rPr>
                <w:b/>
                <w:bCs/>
                <w:sz w:val="18"/>
                <w:szCs w:val="18"/>
                <w:lang w:val="en-US"/>
              </w:rPr>
              <w:t xml:space="preserve">Activity 2.3: </w:t>
            </w:r>
            <w:r w:rsidRPr="003C56C7">
              <w:rPr>
                <w:sz w:val="18"/>
                <w:szCs w:val="18"/>
                <w:lang w:val="en-US"/>
              </w:rPr>
              <w:t>Organize 8 training courses (4-days each) for up to 200 technicians on good refrigeration practices and alternative refrigerants</w:t>
            </w:r>
          </w:p>
          <w:p w14:paraId="231FEE9B" w14:textId="77777777" w:rsidR="00612A8D" w:rsidRPr="003C56C7" w:rsidRDefault="00612A8D" w:rsidP="00C85C85">
            <w:pPr>
              <w:jc w:val="left"/>
              <w:rPr>
                <w:b/>
                <w:bCs/>
                <w:sz w:val="18"/>
                <w:szCs w:val="18"/>
                <w:lang w:val="en-US"/>
              </w:rPr>
            </w:pPr>
          </w:p>
          <w:p w14:paraId="681AB525" w14:textId="11FC9D01" w:rsidR="00C85C85" w:rsidRPr="003C56C7" w:rsidRDefault="00C85C85" w:rsidP="00C85C85">
            <w:pPr>
              <w:jc w:val="left"/>
              <w:rPr>
                <w:sz w:val="18"/>
                <w:szCs w:val="18"/>
                <w:lang w:val="en-US"/>
              </w:rPr>
            </w:pPr>
            <w:r w:rsidRPr="003C56C7">
              <w:rPr>
                <w:b/>
                <w:bCs/>
                <w:sz w:val="18"/>
                <w:szCs w:val="18"/>
                <w:lang w:val="en-US"/>
              </w:rPr>
              <w:t>Activity 2.4:</w:t>
            </w:r>
            <w:r w:rsidRPr="003C56C7">
              <w:rPr>
                <w:sz w:val="18"/>
                <w:szCs w:val="18"/>
                <w:lang w:val="en-US"/>
              </w:rPr>
              <w:t xml:space="preserve"> Develop test for practical exams to be integrated </w:t>
            </w:r>
            <w:r w:rsidRPr="003C56C7">
              <w:rPr>
                <w:sz w:val="18"/>
                <w:szCs w:val="18"/>
                <w:lang w:val="en-US"/>
              </w:rPr>
              <w:lastRenderedPageBreak/>
              <w:t>in the certification examination; develop additional multiple versions of test for written examination.</w:t>
            </w:r>
          </w:p>
          <w:p w14:paraId="348CEE85" w14:textId="77777777" w:rsidR="00612A8D" w:rsidRPr="003C56C7" w:rsidRDefault="00612A8D" w:rsidP="00C85C85">
            <w:pPr>
              <w:jc w:val="left"/>
              <w:rPr>
                <w:b/>
                <w:bCs/>
                <w:sz w:val="18"/>
                <w:szCs w:val="18"/>
                <w:lang w:val="en-US"/>
              </w:rPr>
            </w:pPr>
          </w:p>
          <w:p w14:paraId="63A44A8B" w14:textId="1C23601C" w:rsidR="00C85C85" w:rsidRPr="003C56C7" w:rsidRDefault="00C85C85" w:rsidP="00C85C85">
            <w:pPr>
              <w:rPr>
                <w:sz w:val="18"/>
                <w:szCs w:val="18"/>
                <w:lang w:val="en-US"/>
              </w:rPr>
            </w:pPr>
            <w:r w:rsidRPr="003C56C7">
              <w:rPr>
                <w:b/>
                <w:bCs/>
                <w:sz w:val="18"/>
                <w:szCs w:val="18"/>
                <w:lang w:val="en-US"/>
              </w:rPr>
              <w:t>Activity 2.5.</w:t>
            </w:r>
            <w:r w:rsidRPr="003C56C7">
              <w:rPr>
                <w:sz w:val="18"/>
                <w:szCs w:val="18"/>
                <w:lang w:val="en-US"/>
              </w:rPr>
              <w:t xml:space="preserve"> Organize 8 trainings (2-days each) on the import controls for ODS</w:t>
            </w:r>
            <w:r w:rsidR="006C759F">
              <w:rPr>
                <w:sz w:val="18"/>
                <w:szCs w:val="18"/>
                <w:lang w:val="en-US"/>
              </w:rPr>
              <w:t xml:space="preserve"> </w:t>
            </w:r>
            <w:r w:rsidRPr="003C56C7">
              <w:rPr>
                <w:sz w:val="18"/>
                <w:szCs w:val="18"/>
                <w:lang w:val="en-US"/>
              </w:rPr>
              <w:t>for up to 250 customs officers. Develop Customs Quick Tool for Screening ODS and print around 1,000 copies.</w:t>
            </w:r>
          </w:p>
          <w:p w14:paraId="6831EE2A" w14:textId="77777777" w:rsidR="00167F0E" w:rsidRPr="003C56C7" w:rsidRDefault="00167F0E" w:rsidP="00C85C85">
            <w:pPr>
              <w:rPr>
                <w:sz w:val="18"/>
                <w:szCs w:val="18"/>
                <w:lang w:val="en-US"/>
              </w:rPr>
            </w:pPr>
          </w:p>
          <w:p w14:paraId="30CCAB3C" w14:textId="77777777" w:rsidR="00C85C85" w:rsidRPr="003C56C7" w:rsidRDefault="00C85C85" w:rsidP="00C85C85">
            <w:pPr>
              <w:rPr>
                <w:b/>
                <w:bCs/>
                <w:sz w:val="18"/>
                <w:szCs w:val="18"/>
                <w:lang w:val="en-US"/>
              </w:rPr>
            </w:pPr>
            <w:r w:rsidRPr="003C56C7">
              <w:rPr>
                <w:b/>
                <w:bCs/>
                <w:sz w:val="18"/>
                <w:szCs w:val="18"/>
                <w:lang w:val="en-US"/>
              </w:rPr>
              <w:t>Activity 2.6. O</w:t>
            </w:r>
            <w:r w:rsidRPr="003C56C7">
              <w:rPr>
                <w:sz w:val="18"/>
                <w:szCs w:val="18"/>
                <w:lang w:val="en-US"/>
              </w:rPr>
              <w:t xml:space="preserve">rganize 8 two days trainings (2-days each) for up to 150 environmental inspectors on the control of compliance with the ODS regulations </w:t>
            </w:r>
          </w:p>
          <w:p w14:paraId="2FE9DD26" w14:textId="77777777" w:rsidR="00C85C85" w:rsidRPr="003C56C7" w:rsidRDefault="00C85C85" w:rsidP="00C85C85">
            <w:pPr>
              <w:rPr>
                <w:b/>
                <w:bCs/>
                <w:sz w:val="18"/>
                <w:szCs w:val="18"/>
                <w:lang w:val="en-US"/>
              </w:rPr>
            </w:pPr>
            <w:r w:rsidRPr="003C56C7">
              <w:rPr>
                <w:b/>
                <w:bCs/>
                <w:sz w:val="18"/>
                <w:szCs w:val="18"/>
                <w:lang w:val="en-US"/>
              </w:rPr>
              <w:t xml:space="preserve">Activity 2.8. </w:t>
            </w:r>
            <w:r w:rsidRPr="003C56C7">
              <w:rPr>
                <w:sz w:val="18"/>
                <w:szCs w:val="18"/>
                <w:lang w:val="en-US"/>
              </w:rPr>
              <w:t xml:space="preserve">Revise and update the curriculum of the accredited vocational education </w:t>
            </w:r>
            <w:proofErr w:type="spellStart"/>
            <w:r w:rsidRPr="003C56C7">
              <w:rPr>
                <w:sz w:val="18"/>
                <w:szCs w:val="18"/>
                <w:lang w:val="en-US"/>
              </w:rPr>
              <w:t>programme</w:t>
            </w:r>
            <w:proofErr w:type="spellEnd"/>
            <w:r w:rsidRPr="003C56C7">
              <w:rPr>
                <w:sz w:val="18"/>
                <w:szCs w:val="18"/>
                <w:lang w:val="en-US"/>
              </w:rPr>
              <w:t xml:space="preserve"> to adequately reflected RRR and EE related issues in the </w:t>
            </w:r>
            <w:proofErr w:type="spellStart"/>
            <w:r w:rsidRPr="003C56C7">
              <w:rPr>
                <w:sz w:val="18"/>
                <w:szCs w:val="18"/>
                <w:lang w:val="en-US"/>
              </w:rPr>
              <w:t>programme</w:t>
            </w:r>
            <w:proofErr w:type="spellEnd"/>
            <w:r w:rsidRPr="003C56C7">
              <w:rPr>
                <w:sz w:val="18"/>
                <w:szCs w:val="18"/>
                <w:lang w:val="en-US"/>
              </w:rPr>
              <w:t xml:space="preserve">. </w:t>
            </w:r>
          </w:p>
          <w:p w14:paraId="50EE3238" w14:textId="512F101D" w:rsidR="00D8578E" w:rsidRPr="003C56C7" w:rsidRDefault="00C85C85" w:rsidP="00C85C85">
            <w:pPr>
              <w:jc w:val="left"/>
              <w:rPr>
                <w:sz w:val="18"/>
                <w:szCs w:val="18"/>
              </w:rPr>
            </w:pPr>
            <w:r w:rsidRPr="003C56C7">
              <w:rPr>
                <w:b/>
                <w:bCs/>
                <w:sz w:val="18"/>
                <w:szCs w:val="18"/>
                <w:lang w:val="en-US"/>
              </w:rPr>
              <w:t>Activity 2.10:</w:t>
            </w:r>
            <w:r w:rsidRPr="003C56C7">
              <w:rPr>
                <w:sz w:val="18"/>
                <w:szCs w:val="18"/>
                <w:lang w:val="en-US"/>
              </w:rPr>
              <w:t xml:space="preserve"> Organize 10 roundtable meetings for policy dialogue to facilitate the alignment of policies across respective sectors and reinforce the HCFC phase-out and </w:t>
            </w:r>
            <w:r w:rsidR="004500EB">
              <w:rPr>
                <w:sz w:val="18"/>
                <w:szCs w:val="18"/>
                <w:lang w:val="en-US"/>
              </w:rPr>
              <w:t>HFC</w:t>
            </w:r>
            <w:r w:rsidRPr="003C56C7">
              <w:rPr>
                <w:sz w:val="18"/>
                <w:szCs w:val="18"/>
                <w:lang w:val="en-US"/>
              </w:rPr>
              <w:t xml:space="preserve"> phase-down in the country.</w:t>
            </w:r>
          </w:p>
        </w:tc>
        <w:tc>
          <w:tcPr>
            <w:tcW w:w="3554" w:type="dxa"/>
            <w:shd w:val="clear" w:color="auto" w:fill="auto"/>
          </w:tcPr>
          <w:p w14:paraId="3B7697FD" w14:textId="77777777" w:rsidR="00D8578E" w:rsidRDefault="00367E86" w:rsidP="00A92397">
            <w:pPr>
              <w:jc w:val="left"/>
              <w:rPr>
                <w:sz w:val="18"/>
                <w:szCs w:val="18"/>
                <w:lang w:val="en-US"/>
              </w:rPr>
            </w:pPr>
            <w:r>
              <w:rPr>
                <w:sz w:val="18"/>
                <w:szCs w:val="18"/>
                <w:lang w:val="en-US"/>
              </w:rPr>
              <w:lastRenderedPageBreak/>
              <w:t xml:space="preserve">2.1. </w:t>
            </w:r>
            <w:bookmarkStart w:id="11" w:name="_Hlk180596791"/>
            <w:r w:rsidRPr="00367E86">
              <w:rPr>
                <w:sz w:val="18"/>
                <w:szCs w:val="18"/>
                <w:lang w:val="en-US"/>
              </w:rPr>
              <w:t xml:space="preserve">Trainer is hired and </w:t>
            </w:r>
            <w:proofErr w:type="spellStart"/>
            <w:r>
              <w:rPr>
                <w:sz w:val="18"/>
                <w:szCs w:val="18"/>
                <w:lang w:val="en-US"/>
              </w:rPr>
              <w:t>ToTs</w:t>
            </w:r>
            <w:proofErr w:type="spellEnd"/>
            <w:r w:rsidRPr="00367E86">
              <w:rPr>
                <w:sz w:val="18"/>
                <w:szCs w:val="18"/>
                <w:lang w:val="en-US"/>
              </w:rPr>
              <w:t xml:space="preserve"> will be conducted before the end of </w:t>
            </w:r>
            <w:r w:rsidR="003215F7" w:rsidRPr="00367E86">
              <w:rPr>
                <w:sz w:val="18"/>
                <w:szCs w:val="18"/>
                <w:lang w:val="en-US"/>
              </w:rPr>
              <w:t>November</w:t>
            </w:r>
            <w:r w:rsidRPr="00367E86">
              <w:rPr>
                <w:sz w:val="18"/>
                <w:szCs w:val="18"/>
                <w:lang w:val="en-US"/>
              </w:rPr>
              <w:t xml:space="preserve"> 2024.</w:t>
            </w:r>
            <w:bookmarkEnd w:id="11"/>
          </w:p>
          <w:p w14:paraId="6A1E94B3" w14:textId="77777777" w:rsidR="003215F7" w:rsidRDefault="003215F7" w:rsidP="00A92397">
            <w:pPr>
              <w:jc w:val="left"/>
              <w:rPr>
                <w:sz w:val="18"/>
                <w:szCs w:val="18"/>
                <w:lang w:val="en-US"/>
              </w:rPr>
            </w:pPr>
          </w:p>
          <w:p w14:paraId="2F42F0DB" w14:textId="77777777" w:rsidR="003215F7" w:rsidRDefault="003215F7" w:rsidP="00A92397">
            <w:pPr>
              <w:jc w:val="left"/>
              <w:rPr>
                <w:sz w:val="18"/>
                <w:szCs w:val="18"/>
                <w:lang w:val="en-US"/>
              </w:rPr>
            </w:pPr>
          </w:p>
          <w:p w14:paraId="53F9E198" w14:textId="77777777" w:rsidR="003215F7" w:rsidRDefault="003215F7" w:rsidP="00A92397">
            <w:pPr>
              <w:jc w:val="left"/>
              <w:rPr>
                <w:sz w:val="18"/>
                <w:szCs w:val="18"/>
                <w:lang w:val="en-US"/>
              </w:rPr>
            </w:pPr>
          </w:p>
          <w:p w14:paraId="0C79DD00" w14:textId="77777777" w:rsidR="003215F7" w:rsidRDefault="003215F7" w:rsidP="00A92397">
            <w:pPr>
              <w:jc w:val="left"/>
              <w:rPr>
                <w:sz w:val="18"/>
                <w:szCs w:val="18"/>
                <w:lang w:val="en-US"/>
              </w:rPr>
            </w:pPr>
          </w:p>
          <w:p w14:paraId="79CF12D9" w14:textId="77777777" w:rsidR="003215F7" w:rsidRDefault="003215F7" w:rsidP="00A92397">
            <w:pPr>
              <w:jc w:val="left"/>
              <w:rPr>
                <w:sz w:val="18"/>
                <w:szCs w:val="18"/>
                <w:lang w:val="en-US"/>
              </w:rPr>
            </w:pPr>
          </w:p>
          <w:p w14:paraId="2EB8D812" w14:textId="77777777" w:rsidR="003215F7" w:rsidRDefault="003215F7" w:rsidP="00A92397">
            <w:pPr>
              <w:jc w:val="left"/>
              <w:rPr>
                <w:sz w:val="18"/>
                <w:szCs w:val="18"/>
                <w:lang w:val="en-US"/>
              </w:rPr>
            </w:pPr>
          </w:p>
          <w:p w14:paraId="562D8A4D" w14:textId="77777777" w:rsidR="0056183F" w:rsidRDefault="0056183F" w:rsidP="0056183F">
            <w:pPr>
              <w:rPr>
                <w:sz w:val="18"/>
                <w:szCs w:val="18"/>
                <w:lang w:val="en-US"/>
              </w:rPr>
            </w:pPr>
          </w:p>
          <w:p w14:paraId="06EE5385" w14:textId="769FDBA5" w:rsidR="003215F7" w:rsidRPr="004A6017" w:rsidRDefault="0056183F" w:rsidP="0056183F">
            <w:pPr>
              <w:rPr>
                <w:sz w:val="18"/>
                <w:szCs w:val="18"/>
                <w:lang w:val="en-US"/>
              </w:rPr>
            </w:pPr>
            <w:r>
              <w:rPr>
                <w:sz w:val="18"/>
                <w:szCs w:val="18"/>
                <w:lang w:val="en-US"/>
              </w:rPr>
              <w:t>2.3.</w:t>
            </w:r>
            <w:r w:rsidR="00F4498D">
              <w:rPr>
                <w:sz w:val="18"/>
                <w:szCs w:val="18"/>
                <w:lang w:val="en-US"/>
              </w:rPr>
              <w:t xml:space="preserve"> </w:t>
            </w:r>
            <w:r w:rsidR="00B6434D" w:rsidRPr="004A6017">
              <w:rPr>
                <w:sz w:val="18"/>
                <w:szCs w:val="18"/>
                <w:lang w:val="en-US"/>
              </w:rPr>
              <w:t>Trainings for technicians on good refrigeration practices and alternative refrigerants</w:t>
            </w:r>
            <w:r w:rsidRPr="004A6017">
              <w:rPr>
                <w:sz w:val="18"/>
                <w:szCs w:val="18"/>
                <w:lang w:val="en-US"/>
              </w:rPr>
              <w:t xml:space="preserve"> had been conducted in January 2024. Through the 10 training sessions up to 200 technicians were trained. </w:t>
            </w:r>
          </w:p>
          <w:p w14:paraId="52DEAA89" w14:textId="77777777" w:rsidR="00612A8D" w:rsidRPr="004A6017" w:rsidRDefault="00612A8D" w:rsidP="0056183F">
            <w:pPr>
              <w:rPr>
                <w:sz w:val="18"/>
                <w:szCs w:val="18"/>
                <w:lang w:val="en-US"/>
              </w:rPr>
            </w:pPr>
          </w:p>
          <w:p w14:paraId="26C8C17E" w14:textId="77777777" w:rsidR="00612A8D" w:rsidRPr="004A6017" w:rsidRDefault="00612A8D" w:rsidP="0056183F">
            <w:pPr>
              <w:rPr>
                <w:sz w:val="18"/>
                <w:szCs w:val="18"/>
                <w:lang w:val="en-US"/>
              </w:rPr>
            </w:pPr>
            <w:r w:rsidRPr="004A6017">
              <w:rPr>
                <w:sz w:val="18"/>
                <w:szCs w:val="18"/>
                <w:lang w:val="en-US"/>
              </w:rPr>
              <w:lastRenderedPageBreak/>
              <w:t xml:space="preserve">2.4. Test for practical exams to be integrated in the certification examination had been developed and submitted to </w:t>
            </w:r>
            <w:proofErr w:type="spellStart"/>
            <w:r w:rsidRPr="004A6017">
              <w:rPr>
                <w:sz w:val="18"/>
                <w:szCs w:val="18"/>
                <w:lang w:val="en-US"/>
              </w:rPr>
              <w:t>MoEPA</w:t>
            </w:r>
            <w:proofErr w:type="spellEnd"/>
            <w:r w:rsidRPr="004A6017">
              <w:rPr>
                <w:sz w:val="18"/>
                <w:szCs w:val="18"/>
                <w:lang w:val="en-US"/>
              </w:rPr>
              <w:t>.</w:t>
            </w:r>
          </w:p>
          <w:p w14:paraId="090AA1A0" w14:textId="77777777" w:rsidR="00167F0E" w:rsidRPr="004A6017" w:rsidRDefault="00167F0E" w:rsidP="0056183F">
            <w:pPr>
              <w:rPr>
                <w:sz w:val="18"/>
                <w:szCs w:val="18"/>
                <w:lang w:val="en-US"/>
              </w:rPr>
            </w:pPr>
          </w:p>
          <w:p w14:paraId="7A1DCA54" w14:textId="77777777" w:rsidR="00167F0E" w:rsidRPr="004A6017" w:rsidRDefault="00167F0E" w:rsidP="0056183F">
            <w:pPr>
              <w:rPr>
                <w:sz w:val="18"/>
                <w:szCs w:val="18"/>
                <w:lang w:val="en-US"/>
              </w:rPr>
            </w:pPr>
          </w:p>
          <w:p w14:paraId="56A7AC4B" w14:textId="77777777" w:rsidR="00167F0E" w:rsidRPr="004A6017" w:rsidRDefault="00167F0E" w:rsidP="0056183F">
            <w:pPr>
              <w:rPr>
                <w:sz w:val="18"/>
                <w:szCs w:val="18"/>
                <w:lang w:val="en-US"/>
              </w:rPr>
            </w:pPr>
          </w:p>
          <w:p w14:paraId="530E61C7" w14:textId="77777777" w:rsidR="00612A8D" w:rsidRPr="004A6017" w:rsidRDefault="00612A8D" w:rsidP="0056183F">
            <w:pPr>
              <w:rPr>
                <w:sz w:val="18"/>
                <w:szCs w:val="18"/>
                <w:lang w:val="en-US"/>
              </w:rPr>
            </w:pPr>
          </w:p>
          <w:p w14:paraId="3BBF8BA2" w14:textId="6C613CCB" w:rsidR="00615092" w:rsidRPr="004A6017" w:rsidRDefault="00EA3CE9" w:rsidP="0056183F">
            <w:pPr>
              <w:rPr>
                <w:sz w:val="18"/>
                <w:szCs w:val="18"/>
                <w:lang w:val="en-US"/>
              </w:rPr>
            </w:pPr>
            <w:r w:rsidRPr="004A6017">
              <w:rPr>
                <w:sz w:val="18"/>
                <w:szCs w:val="18"/>
                <w:lang w:val="en-US"/>
              </w:rPr>
              <w:t xml:space="preserve"> </w:t>
            </w:r>
            <w:r w:rsidR="00615092" w:rsidRPr="004A6017">
              <w:rPr>
                <w:sz w:val="18"/>
                <w:szCs w:val="18"/>
                <w:lang w:val="en-US"/>
              </w:rPr>
              <w:t xml:space="preserve">2.5. </w:t>
            </w:r>
            <w:r w:rsidR="00140BAC" w:rsidRPr="004A6017">
              <w:rPr>
                <w:sz w:val="18"/>
                <w:szCs w:val="18"/>
                <w:lang w:val="en-US"/>
              </w:rPr>
              <w:t xml:space="preserve">6 </w:t>
            </w:r>
            <w:r w:rsidRPr="004A6017">
              <w:rPr>
                <w:sz w:val="18"/>
                <w:szCs w:val="18"/>
                <w:lang w:val="en-US"/>
              </w:rPr>
              <w:t xml:space="preserve">trainings (2-days each) on the import controls for ODS for up to </w:t>
            </w:r>
            <w:r w:rsidR="007D79E7" w:rsidRPr="004A6017">
              <w:rPr>
                <w:sz w:val="18"/>
                <w:szCs w:val="18"/>
                <w:lang w:val="en-US"/>
              </w:rPr>
              <w:t>90</w:t>
            </w:r>
            <w:r w:rsidRPr="004A6017">
              <w:rPr>
                <w:sz w:val="18"/>
                <w:szCs w:val="18"/>
                <w:lang w:val="en-US"/>
              </w:rPr>
              <w:t xml:space="preserve"> customs officers</w:t>
            </w:r>
            <w:r w:rsidR="00140BAC" w:rsidRPr="004A6017">
              <w:rPr>
                <w:sz w:val="18"/>
                <w:szCs w:val="18"/>
                <w:lang w:val="en-US"/>
              </w:rPr>
              <w:t xml:space="preserve"> had been conducted within 2023-2024.</w:t>
            </w:r>
            <w:r w:rsidR="00615092" w:rsidRPr="004A6017">
              <w:rPr>
                <w:sz w:val="18"/>
                <w:szCs w:val="18"/>
                <w:lang w:val="en-US"/>
              </w:rPr>
              <w:t xml:space="preserve"> Among them 46 females (51%)</w:t>
            </w:r>
          </w:p>
          <w:p w14:paraId="02FE83A6" w14:textId="6A84A0C4" w:rsidR="00612A8D" w:rsidRPr="004A6017" w:rsidRDefault="00140BAC" w:rsidP="0056183F">
            <w:pPr>
              <w:rPr>
                <w:sz w:val="18"/>
                <w:szCs w:val="18"/>
                <w:lang w:val="en-US"/>
              </w:rPr>
            </w:pPr>
            <w:r w:rsidRPr="004A6017">
              <w:rPr>
                <w:sz w:val="18"/>
                <w:szCs w:val="18"/>
                <w:lang w:val="en-US"/>
              </w:rPr>
              <w:t xml:space="preserve"> Two training session is planned to be conducted in </w:t>
            </w:r>
            <w:r w:rsidR="00615092" w:rsidRPr="004A6017">
              <w:rPr>
                <w:sz w:val="18"/>
                <w:szCs w:val="18"/>
                <w:lang w:val="en-US"/>
              </w:rPr>
              <w:t>November</w:t>
            </w:r>
            <w:r w:rsidRPr="004A6017">
              <w:rPr>
                <w:sz w:val="18"/>
                <w:szCs w:val="18"/>
                <w:lang w:val="en-US"/>
              </w:rPr>
              <w:t xml:space="preserve"> 2024.</w:t>
            </w:r>
          </w:p>
          <w:p w14:paraId="0682EB1D" w14:textId="77777777" w:rsidR="00612A8D" w:rsidRPr="004A6017" w:rsidRDefault="00612A8D" w:rsidP="0056183F">
            <w:pPr>
              <w:rPr>
                <w:sz w:val="18"/>
                <w:szCs w:val="18"/>
                <w:lang w:val="en-US"/>
              </w:rPr>
            </w:pPr>
          </w:p>
          <w:p w14:paraId="49227EF9" w14:textId="77777777" w:rsidR="006A046A" w:rsidRDefault="006A046A" w:rsidP="0056183F">
            <w:pPr>
              <w:rPr>
                <w:sz w:val="18"/>
                <w:szCs w:val="18"/>
                <w:lang w:val="en-US"/>
              </w:rPr>
            </w:pPr>
          </w:p>
          <w:p w14:paraId="014E2963" w14:textId="76321F14" w:rsidR="002112F7" w:rsidRPr="004A6017" w:rsidRDefault="00615092" w:rsidP="0056183F">
            <w:pPr>
              <w:rPr>
                <w:sz w:val="18"/>
                <w:szCs w:val="18"/>
                <w:lang w:val="en-US"/>
              </w:rPr>
            </w:pPr>
            <w:r w:rsidRPr="004A6017">
              <w:rPr>
                <w:sz w:val="18"/>
                <w:szCs w:val="18"/>
                <w:lang w:val="en-US"/>
              </w:rPr>
              <w:t>2.6. 10 training sessions</w:t>
            </w:r>
            <w:r w:rsidR="006A046A">
              <w:rPr>
                <w:sz w:val="18"/>
                <w:szCs w:val="18"/>
                <w:lang w:val="en-US"/>
              </w:rPr>
              <w:t xml:space="preserve"> for the environmental inspectors</w:t>
            </w:r>
            <w:r w:rsidRPr="004A6017">
              <w:rPr>
                <w:sz w:val="18"/>
                <w:szCs w:val="18"/>
                <w:lang w:val="en-US"/>
              </w:rPr>
              <w:t xml:space="preserve"> had been conducted within September-</w:t>
            </w:r>
            <w:r w:rsidR="006A046A" w:rsidRPr="004A6017">
              <w:rPr>
                <w:sz w:val="18"/>
                <w:szCs w:val="18"/>
                <w:lang w:val="en-US"/>
              </w:rPr>
              <w:t>October</w:t>
            </w:r>
            <w:r w:rsidR="006A046A">
              <w:rPr>
                <w:sz w:val="18"/>
                <w:szCs w:val="18"/>
                <w:lang w:val="en-US"/>
              </w:rPr>
              <w:t xml:space="preserve"> </w:t>
            </w:r>
            <w:r w:rsidRPr="004A6017">
              <w:rPr>
                <w:sz w:val="18"/>
                <w:szCs w:val="18"/>
                <w:lang w:val="en-US"/>
              </w:rPr>
              <w:t>2023. In Total 136 Environmental Inspectors had been trained. Out of them 49 females (36%).</w:t>
            </w:r>
          </w:p>
          <w:p w14:paraId="5B543F84" w14:textId="77777777" w:rsidR="00615092" w:rsidRPr="004A6017" w:rsidRDefault="00615092" w:rsidP="0056183F">
            <w:pPr>
              <w:rPr>
                <w:sz w:val="18"/>
                <w:szCs w:val="18"/>
                <w:lang w:val="en-US"/>
              </w:rPr>
            </w:pPr>
          </w:p>
          <w:p w14:paraId="39FC9A35" w14:textId="77777777" w:rsidR="00615092" w:rsidRPr="004A6017" w:rsidRDefault="00615092" w:rsidP="0056183F">
            <w:pPr>
              <w:rPr>
                <w:sz w:val="18"/>
                <w:szCs w:val="18"/>
                <w:lang w:val="en-US"/>
              </w:rPr>
            </w:pPr>
          </w:p>
          <w:p w14:paraId="7755E859" w14:textId="369421FD" w:rsidR="00615092" w:rsidRPr="004A6017" w:rsidRDefault="00615092" w:rsidP="0056183F">
            <w:pPr>
              <w:rPr>
                <w:sz w:val="18"/>
                <w:szCs w:val="18"/>
                <w:lang w:val="en-US"/>
              </w:rPr>
            </w:pPr>
            <w:r w:rsidRPr="004A6017">
              <w:rPr>
                <w:sz w:val="18"/>
                <w:szCs w:val="18"/>
                <w:lang w:val="en-US"/>
              </w:rPr>
              <w:t xml:space="preserve">2.8. </w:t>
            </w:r>
            <w:bookmarkStart w:id="12" w:name="_Hlk180596167"/>
            <w:r w:rsidRPr="004A6017">
              <w:rPr>
                <w:sz w:val="18"/>
                <w:szCs w:val="18"/>
                <w:lang w:val="en-US"/>
              </w:rPr>
              <w:t xml:space="preserve">Revision and Update of the curriculum of the accredited vocational education </w:t>
            </w:r>
            <w:proofErr w:type="spellStart"/>
            <w:r w:rsidRPr="004A6017">
              <w:rPr>
                <w:sz w:val="18"/>
                <w:szCs w:val="18"/>
                <w:lang w:val="en-US"/>
              </w:rPr>
              <w:t>programme</w:t>
            </w:r>
            <w:proofErr w:type="spellEnd"/>
            <w:r w:rsidR="006F5F0D" w:rsidRPr="004A6017">
              <w:rPr>
                <w:sz w:val="18"/>
                <w:szCs w:val="18"/>
                <w:lang w:val="en-US"/>
              </w:rPr>
              <w:t xml:space="preserve"> is in progress and will be on place by the end of </w:t>
            </w:r>
            <w:proofErr w:type="gramStart"/>
            <w:r w:rsidR="006F5F0D" w:rsidRPr="004A6017">
              <w:rPr>
                <w:sz w:val="18"/>
                <w:szCs w:val="18"/>
                <w:lang w:val="en-US"/>
              </w:rPr>
              <w:t>October,</w:t>
            </w:r>
            <w:proofErr w:type="gramEnd"/>
            <w:r w:rsidR="006F5F0D" w:rsidRPr="004A6017">
              <w:rPr>
                <w:sz w:val="18"/>
                <w:szCs w:val="18"/>
                <w:lang w:val="en-US"/>
              </w:rPr>
              <w:t xml:space="preserve"> 2024.</w:t>
            </w:r>
            <w:bookmarkEnd w:id="12"/>
          </w:p>
          <w:p w14:paraId="312F9BFC" w14:textId="77777777" w:rsidR="00615092" w:rsidRPr="004A6017" w:rsidRDefault="00615092" w:rsidP="0056183F">
            <w:pPr>
              <w:rPr>
                <w:sz w:val="18"/>
                <w:szCs w:val="18"/>
                <w:lang w:val="en-US"/>
              </w:rPr>
            </w:pPr>
          </w:p>
          <w:p w14:paraId="6512EC5F" w14:textId="77777777" w:rsidR="00FA6E6B" w:rsidRPr="004A6017" w:rsidRDefault="00FA6E6B" w:rsidP="0056183F">
            <w:pPr>
              <w:rPr>
                <w:sz w:val="18"/>
                <w:szCs w:val="18"/>
                <w:lang w:val="en-US"/>
              </w:rPr>
            </w:pPr>
          </w:p>
          <w:p w14:paraId="660C81A9" w14:textId="77777777" w:rsidR="00FA6E6B" w:rsidRPr="004A6017" w:rsidRDefault="00FA6E6B" w:rsidP="0056183F">
            <w:pPr>
              <w:rPr>
                <w:sz w:val="18"/>
                <w:szCs w:val="18"/>
                <w:lang w:val="en-US"/>
              </w:rPr>
            </w:pPr>
          </w:p>
          <w:p w14:paraId="5D097AC3" w14:textId="3C8298BF" w:rsidR="00FA6E6B" w:rsidRPr="004A6017" w:rsidRDefault="00FA6E6B" w:rsidP="0056183F">
            <w:pPr>
              <w:rPr>
                <w:sz w:val="18"/>
                <w:szCs w:val="18"/>
                <w:lang w:val="en-US"/>
              </w:rPr>
            </w:pPr>
            <w:r w:rsidRPr="004A6017">
              <w:rPr>
                <w:sz w:val="18"/>
                <w:szCs w:val="18"/>
                <w:lang w:val="en-US"/>
              </w:rPr>
              <w:t>2.10.</w:t>
            </w:r>
            <w:r w:rsidR="00C5035F" w:rsidRPr="004A6017">
              <w:rPr>
                <w:sz w:val="18"/>
                <w:szCs w:val="18"/>
                <w:lang w:val="en-US"/>
              </w:rPr>
              <w:t xml:space="preserve"> Within October-Novembre, 2023 and February 2024, 9 round table meetings had been conducted in close collaboration of </w:t>
            </w:r>
            <w:proofErr w:type="spellStart"/>
            <w:r w:rsidR="00C5035F" w:rsidRPr="004A6017">
              <w:rPr>
                <w:sz w:val="18"/>
                <w:szCs w:val="18"/>
                <w:lang w:val="en-US"/>
              </w:rPr>
              <w:t>NoU</w:t>
            </w:r>
            <w:proofErr w:type="spellEnd"/>
            <w:r w:rsidR="00C5035F" w:rsidRPr="004A6017">
              <w:rPr>
                <w:sz w:val="18"/>
                <w:szCs w:val="18"/>
                <w:lang w:val="en-US"/>
              </w:rPr>
              <w:t xml:space="preserve"> and Environmental Supervision department. In</w:t>
            </w:r>
            <w:r w:rsidR="002A2CBA" w:rsidRPr="004A6017">
              <w:rPr>
                <w:sz w:val="18"/>
                <w:szCs w:val="18"/>
                <w:lang w:val="en-US"/>
              </w:rPr>
              <w:t xml:space="preserve"> total</w:t>
            </w:r>
            <w:r w:rsidR="00C5035F" w:rsidRPr="004A6017">
              <w:rPr>
                <w:sz w:val="18"/>
                <w:szCs w:val="18"/>
                <w:lang w:val="en-US"/>
              </w:rPr>
              <w:t xml:space="preserve"> 176 </w:t>
            </w:r>
            <w:r w:rsidR="002A2CBA" w:rsidRPr="004A6017">
              <w:rPr>
                <w:sz w:val="18"/>
                <w:szCs w:val="18"/>
                <w:lang w:val="en-US"/>
              </w:rPr>
              <w:t>persons</w:t>
            </w:r>
            <w:r w:rsidR="00C5035F" w:rsidRPr="004A6017">
              <w:rPr>
                <w:sz w:val="18"/>
                <w:szCs w:val="18"/>
                <w:lang w:val="en-US"/>
              </w:rPr>
              <w:t xml:space="preserve"> participated</w:t>
            </w:r>
            <w:r w:rsidR="002A2CBA" w:rsidRPr="004A6017">
              <w:rPr>
                <w:sz w:val="18"/>
                <w:szCs w:val="18"/>
                <w:lang w:val="en-US"/>
              </w:rPr>
              <w:t xml:space="preserve"> in meetings. </w:t>
            </w:r>
          </w:p>
        </w:tc>
        <w:tc>
          <w:tcPr>
            <w:tcW w:w="2071" w:type="dxa"/>
            <w:shd w:val="clear" w:color="auto" w:fill="auto"/>
          </w:tcPr>
          <w:p w14:paraId="4FB784AC" w14:textId="77777777" w:rsidR="00D8578E" w:rsidRPr="00B6434D" w:rsidRDefault="00D8578E" w:rsidP="00A92397">
            <w:pPr>
              <w:jc w:val="left"/>
              <w:rPr>
                <w:rFonts w:asciiTheme="minorHAnsi" w:hAnsiTheme="minorHAnsi"/>
                <w:sz w:val="18"/>
                <w:szCs w:val="18"/>
                <w:highlight w:val="yellow"/>
                <w:lang w:val="ka-GE"/>
              </w:rPr>
            </w:pPr>
            <w:r w:rsidRPr="00725AB4">
              <w:rPr>
                <w:sz w:val="18"/>
                <w:szCs w:val="18"/>
              </w:rPr>
              <w:lastRenderedPageBreak/>
              <w:t>In progress</w:t>
            </w:r>
          </w:p>
        </w:tc>
      </w:tr>
      <w:bookmarkEnd w:id="9"/>
      <w:tr w:rsidR="00D8578E" w:rsidRPr="00F20DCA" w14:paraId="135FA519" w14:textId="77777777" w:rsidTr="00C85C85">
        <w:tc>
          <w:tcPr>
            <w:tcW w:w="1524" w:type="dxa"/>
            <w:shd w:val="clear" w:color="auto" w:fill="auto"/>
          </w:tcPr>
          <w:p w14:paraId="4F1DE994" w14:textId="6315E59D" w:rsidR="00D8578E" w:rsidRPr="00F20DCA" w:rsidRDefault="00C85C85" w:rsidP="00A92397">
            <w:pPr>
              <w:jc w:val="left"/>
              <w:rPr>
                <w:sz w:val="18"/>
                <w:szCs w:val="18"/>
              </w:rPr>
            </w:pPr>
            <w:r w:rsidRPr="00C85C85">
              <w:rPr>
                <w:color w:val="000000"/>
                <w:sz w:val="18"/>
                <w:szCs w:val="18"/>
                <w:lang w:val="en-US" w:eastAsia="ja-JP"/>
              </w:rPr>
              <w:t xml:space="preserve">Component 3: </w:t>
            </w:r>
            <w:bookmarkStart w:id="13" w:name="_Hlk177487582"/>
            <w:r w:rsidRPr="00C85C85">
              <w:rPr>
                <w:color w:val="000000"/>
                <w:sz w:val="18"/>
                <w:szCs w:val="18"/>
                <w:lang w:val="en-US" w:eastAsia="ja-JP"/>
              </w:rPr>
              <w:t>Demonstration projects</w:t>
            </w:r>
            <w:bookmarkEnd w:id="13"/>
          </w:p>
        </w:tc>
        <w:tc>
          <w:tcPr>
            <w:tcW w:w="2521" w:type="dxa"/>
            <w:shd w:val="clear" w:color="auto" w:fill="auto"/>
          </w:tcPr>
          <w:p w14:paraId="03090CC5" w14:textId="77777777" w:rsidR="00C85C85" w:rsidRPr="003C56C7" w:rsidRDefault="00C85C85" w:rsidP="00C85C85">
            <w:pPr>
              <w:rPr>
                <w:b/>
                <w:bCs/>
                <w:sz w:val="18"/>
                <w:szCs w:val="18"/>
                <w:lang w:val="en-US"/>
              </w:rPr>
            </w:pPr>
            <w:r w:rsidRPr="003C56C7">
              <w:rPr>
                <w:b/>
                <w:bCs/>
                <w:sz w:val="18"/>
                <w:szCs w:val="18"/>
                <w:lang w:val="en-US"/>
              </w:rPr>
              <w:t>Activity 3.1:</w:t>
            </w:r>
            <w:r w:rsidRPr="003C56C7">
              <w:rPr>
                <w:sz w:val="18"/>
                <w:szCs w:val="18"/>
                <w:lang w:val="en-US"/>
              </w:rPr>
              <w:t xml:space="preserve"> </w:t>
            </w:r>
            <w:bookmarkStart w:id="14" w:name="_Hlk177474346"/>
            <w:r w:rsidRPr="003C56C7">
              <w:rPr>
                <w:sz w:val="18"/>
                <w:szCs w:val="18"/>
                <w:lang w:val="en-US"/>
              </w:rPr>
              <w:t>Carry out analysis of obstacles of technology transfer/inflow and propose recommendations to address them</w:t>
            </w:r>
          </w:p>
          <w:p w14:paraId="0D3B9EDC" w14:textId="77777777" w:rsidR="00C85C85" w:rsidRPr="003C56C7" w:rsidRDefault="00C85C85" w:rsidP="00C85C85">
            <w:pPr>
              <w:rPr>
                <w:b/>
                <w:bCs/>
                <w:sz w:val="18"/>
                <w:szCs w:val="18"/>
                <w:lang w:val="en-US"/>
              </w:rPr>
            </w:pPr>
            <w:r w:rsidRPr="003C56C7">
              <w:rPr>
                <w:b/>
                <w:bCs/>
                <w:sz w:val="18"/>
                <w:szCs w:val="18"/>
                <w:lang w:val="en-US"/>
              </w:rPr>
              <w:t>Activity 3.2.</w:t>
            </w:r>
            <w:r w:rsidRPr="003C56C7">
              <w:rPr>
                <w:sz w:val="18"/>
                <w:szCs w:val="18"/>
                <w:lang w:val="en-US"/>
              </w:rPr>
              <w:t xml:space="preserve"> Develop detailed scope for the technology demonstration </w:t>
            </w:r>
            <w:proofErr w:type="spellStart"/>
            <w:r w:rsidRPr="003C56C7">
              <w:rPr>
                <w:sz w:val="18"/>
                <w:szCs w:val="18"/>
                <w:lang w:val="en-US"/>
              </w:rPr>
              <w:t>programme</w:t>
            </w:r>
            <w:proofErr w:type="spellEnd"/>
            <w:r w:rsidRPr="003C56C7">
              <w:rPr>
                <w:sz w:val="18"/>
                <w:szCs w:val="18"/>
                <w:lang w:val="en-US"/>
              </w:rPr>
              <w:t>, define priority technologies to be applied.</w:t>
            </w:r>
          </w:p>
          <w:bookmarkEnd w:id="14"/>
          <w:p w14:paraId="65B7E3F9" w14:textId="2E978A56" w:rsidR="00D8578E" w:rsidRPr="003C56C7" w:rsidRDefault="00D8578E" w:rsidP="00FA6E6B">
            <w:pPr>
              <w:jc w:val="left"/>
              <w:rPr>
                <w:b/>
                <w:bCs/>
                <w:sz w:val="18"/>
                <w:szCs w:val="18"/>
                <w:lang w:val="en-US"/>
              </w:rPr>
            </w:pPr>
          </w:p>
        </w:tc>
        <w:tc>
          <w:tcPr>
            <w:tcW w:w="3554" w:type="dxa"/>
            <w:shd w:val="clear" w:color="auto" w:fill="auto"/>
          </w:tcPr>
          <w:p w14:paraId="44C6CBD1" w14:textId="11A12005" w:rsidR="00C47541" w:rsidRPr="004A6017" w:rsidRDefault="002A2CBA" w:rsidP="004A6017">
            <w:pPr>
              <w:jc w:val="left"/>
              <w:rPr>
                <w:sz w:val="18"/>
                <w:szCs w:val="18"/>
                <w:lang w:val="en-US"/>
              </w:rPr>
            </w:pPr>
            <w:r w:rsidRPr="004A6017">
              <w:rPr>
                <w:sz w:val="18"/>
                <w:szCs w:val="18"/>
                <w:lang w:val="en-US"/>
              </w:rPr>
              <w:t xml:space="preserve">3.1. Analysis of obstacles of technology transfer/inflow including the recommendations is in progress and will be ready by the end of </w:t>
            </w:r>
            <w:proofErr w:type="gramStart"/>
            <w:r w:rsidRPr="004A6017">
              <w:rPr>
                <w:sz w:val="18"/>
                <w:szCs w:val="18"/>
                <w:lang w:val="en-US"/>
              </w:rPr>
              <w:t>October,</w:t>
            </w:r>
            <w:proofErr w:type="gramEnd"/>
            <w:r w:rsidRPr="004A6017">
              <w:rPr>
                <w:sz w:val="18"/>
                <w:szCs w:val="18"/>
                <w:lang w:val="en-US"/>
              </w:rPr>
              <w:t xml:space="preserve"> 2024.</w:t>
            </w:r>
          </w:p>
          <w:p w14:paraId="22B535E8" w14:textId="77777777" w:rsidR="002A2CBA" w:rsidRPr="004A6017" w:rsidRDefault="002A2CBA" w:rsidP="004A6017">
            <w:pPr>
              <w:jc w:val="left"/>
              <w:rPr>
                <w:sz w:val="18"/>
                <w:szCs w:val="18"/>
                <w:lang w:val="en-US"/>
              </w:rPr>
            </w:pPr>
          </w:p>
          <w:p w14:paraId="1F002808" w14:textId="3BB74E95" w:rsidR="002A2CBA" w:rsidRPr="004A6017" w:rsidRDefault="002A2CBA" w:rsidP="004A6017">
            <w:pPr>
              <w:jc w:val="left"/>
              <w:rPr>
                <w:sz w:val="18"/>
                <w:szCs w:val="18"/>
                <w:lang w:val="en-US"/>
              </w:rPr>
            </w:pPr>
            <w:r w:rsidRPr="004A6017">
              <w:rPr>
                <w:sz w:val="18"/>
                <w:szCs w:val="18"/>
                <w:lang w:val="en-US"/>
              </w:rPr>
              <w:t xml:space="preserve">3.2. Developing detailed scope for the technology demonstration </w:t>
            </w:r>
            <w:proofErr w:type="spellStart"/>
            <w:r w:rsidRPr="004A6017">
              <w:rPr>
                <w:sz w:val="18"/>
                <w:szCs w:val="18"/>
                <w:lang w:val="en-US"/>
              </w:rPr>
              <w:t>programme</w:t>
            </w:r>
            <w:proofErr w:type="spellEnd"/>
            <w:r w:rsidRPr="004A6017">
              <w:rPr>
                <w:sz w:val="18"/>
                <w:szCs w:val="18"/>
                <w:lang w:val="en-US"/>
              </w:rPr>
              <w:t xml:space="preserve"> is in progress and </w:t>
            </w:r>
            <w:proofErr w:type="spellStart"/>
            <w:r w:rsidRPr="004A6017">
              <w:rPr>
                <w:sz w:val="18"/>
                <w:szCs w:val="18"/>
                <w:lang w:val="en-US"/>
              </w:rPr>
              <w:t>wil</w:t>
            </w:r>
            <w:proofErr w:type="spellEnd"/>
            <w:r w:rsidRPr="004A6017">
              <w:rPr>
                <w:sz w:val="18"/>
                <w:szCs w:val="18"/>
                <w:lang w:val="en-US"/>
              </w:rPr>
              <w:t xml:space="preserve"> be ready by the end of Novembre, 2024.</w:t>
            </w:r>
          </w:p>
          <w:p w14:paraId="417813C8" w14:textId="77777777" w:rsidR="00C47541" w:rsidRPr="004A6017" w:rsidRDefault="00C47541" w:rsidP="004A6017">
            <w:pPr>
              <w:jc w:val="left"/>
              <w:rPr>
                <w:sz w:val="18"/>
                <w:szCs w:val="18"/>
                <w:lang w:val="en-US"/>
              </w:rPr>
            </w:pPr>
          </w:p>
          <w:p w14:paraId="0DA9C003" w14:textId="77777777" w:rsidR="00C47541" w:rsidRPr="004A6017" w:rsidRDefault="00C47541" w:rsidP="004A6017">
            <w:pPr>
              <w:jc w:val="left"/>
              <w:rPr>
                <w:sz w:val="18"/>
                <w:szCs w:val="18"/>
                <w:lang w:val="en-US"/>
              </w:rPr>
            </w:pPr>
          </w:p>
          <w:p w14:paraId="5E915BD9" w14:textId="77777777" w:rsidR="00D8578E" w:rsidRPr="004A6017" w:rsidRDefault="00D8578E" w:rsidP="004A6017">
            <w:pPr>
              <w:keepLines/>
              <w:jc w:val="left"/>
              <w:rPr>
                <w:sz w:val="18"/>
                <w:szCs w:val="18"/>
                <w:lang w:val="en-US"/>
              </w:rPr>
            </w:pPr>
          </w:p>
        </w:tc>
        <w:tc>
          <w:tcPr>
            <w:tcW w:w="2071" w:type="dxa"/>
            <w:shd w:val="clear" w:color="auto" w:fill="auto"/>
          </w:tcPr>
          <w:p w14:paraId="097D6EE0" w14:textId="1C83BC48" w:rsidR="00D8578E" w:rsidRPr="00725AB4" w:rsidRDefault="002A2CBA" w:rsidP="00A92397">
            <w:pPr>
              <w:jc w:val="left"/>
              <w:rPr>
                <w:sz w:val="18"/>
                <w:szCs w:val="18"/>
              </w:rPr>
            </w:pPr>
            <w:r>
              <w:rPr>
                <w:sz w:val="18"/>
                <w:szCs w:val="18"/>
              </w:rPr>
              <w:t>In progress</w:t>
            </w:r>
          </w:p>
          <w:p w14:paraId="2C132F17" w14:textId="77777777" w:rsidR="00D8578E" w:rsidRPr="00F20DCA" w:rsidRDefault="00D8578E" w:rsidP="00A92397">
            <w:pPr>
              <w:jc w:val="left"/>
              <w:rPr>
                <w:sz w:val="18"/>
                <w:szCs w:val="18"/>
                <w:highlight w:val="yellow"/>
              </w:rPr>
            </w:pPr>
          </w:p>
          <w:p w14:paraId="7702432B" w14:textId="77777777" w:rsidR="00D8578E" w:rsidRPr="00F20DCA" w:rsidRDefault="00D8578E" w:rsidP="00A92397">
            <w:pPr>
              <w:jc w:val="left"/>
              <w:rPr>
                <w:sz w:val="18"/>
                <w:szCs w:val="18"/>
                <w:highlight w:val="yellow"/>
              </w:rPr>
            </w:pPr>
          </w:p>
          <w:p w14:paraId="2CD7C335" w14:textId="77777777" w:rsidR="00D8578E" w:rsidRPr="00F20DCA" w:rsidRDefault="00D8578E" w:rsidP="00A92397">
            <w:pPr>
              <w:jc w:val="left"/>
              <w:rPr>
                <w:sz w:val="18"/>
                <w:szCs w:val="18"/>
                <w:highlight w:val="yellow"/>
              </w:rPr>
            </w:pPr>
          </w:p>
          <w:p w14:paraId="6C688205" w14:textId="77777777" w:rsidR="00D8578E" w:rsidRPr="00F20DCA" w:rsidRDefault="00D8578E" w:rsidP="00A92397">
            <w:pPr>
              <w:jc w:val="left"/>
              <w:rPr>
                <w:sz w:val="18"/>
                <w:szCs w:val="18"/>
                <w:highlight w:val="yellow"/>
              </w:rPr>
            </w:pPr>
          </w:p>
          <w:p w14:paraId="0050FBBF" w14:textId="77777777" w:rsidR="00D8578E" w:rsidRPr="00F20DCA" w:rsidRDefault="00D8578E" w:rsidP="00A92397">
            <w:pPr>
              <w:jc w:val="left"/>
              <w:rPr>
                <w:sz w:val="18"/>
                <w:szCs w:val="18"/>
                <w:highlight w:val="yellow"/>
              </w:rPr>
            </w:pPr>
          </w:p>
          <w:p w14:paraId="3DD680AA" w14:textId="77777777" w:rsidR="00D8578E" w:rsidRPr="00F20DCA" w:rsidRDefault="00D8578E" w:rsidP="00A92397">
            <w:pPr>
              <w:jc w:val="left"/>
              <w:rPr>
                <w:sz w:val="18"/>
                <w:szCs w:val="18"/>
                <w:highlight w:val="yellow"/>
              </w:rPr>
            </w:pPr>
          </w:p>
          <w:p w14:paraId="6912CF07" w14:textId="77777777" w:rsidR="00D8578E" w:rsidRPr="00F20DCA" w:rsidRDefault="00D8578E" w:rsidP="00A92397">
            <w:pPr>
              <w:jc w:val="left"/>
              <w:rPr>
                <w:sz w:val="18"/>
                <w:szCs w:val="18"/>
                <w:highlight w:val="yellow"/>
              </w:rPr>
            </w:pPr>
          </w:p>
          <w:p w14:paraId="119D1C88" w14:textId="77777777" w:rsidR="00D8578E" w:rsidRPr="00F20DCA" w:rsidRDefault="00D8578E" w:rsidP="00A92397">
            <w:pPr>
              <w:jc w:val="left"/>
              <w:rPr>
                <w:sz w:val="18"/>
                <w:szCs w:val="18"/>
                <w:highlight w:val="yellow"/>
              </w:rPr>
            </w:pPr>
          </w:p>
          <w:p w14:paraId="535C50D7" w14:textId="77777777" w:rsidR="00D8578E" w:rsidRPr="00F20DCA" w:rsidRDefault="00D8578E" w:rsidP="00A92397">
            <w:pPr>
              <w:jc w:val="left"/>
              <w:rPr>
                <w:sz w:val="18"/>
                <w:szCs w:val="18"/>
                <w:highlight w:val="yellow"/>
              </w:rPr>
            </w:pPr>
          </w:p>
          <w:p w14:paraId="5B4CCD3F" w14:textId="77777777" w:rsidR="00C47541" w:rsidRPr="00F20DCA" w:rsidRDefault="00C47541" w:rsidP="00A92397">
            <w:pPr>
              <w:jc w:val="left"/>
              <w:rPr>
                <w:sz w:val="18"/>
                <w:szCs w:val="18"/>
                <w:highlight w:val="yellow"/>
              </w:rPr>
            </w:pPr>
          </w:p>
          <w:p w14:paraId="1C58BD37" w14:textId="6A71E628" w:rsidR="00D8578E" w:rsidRPr="00F20DCA" w:rsidRDefault="00D8578E" w:rsidP="00A92397">
            <w:pPr>
              <w:jc w:val="left"/>
              <w:rPr>
                <w:sz w:val="18"/>
                <w:szCs w:val="18"/>
                <w:highlight w:val="yellow"/>
              </w:rPr>
            </w:pPr>
            <w:r w:rsidRPr="00725AB4">
              <w:rPr>
                <w:sz w:val="18"/>
                <w:szCs w:val="18"/>
              </w:rPr>
              <w:t xml:space="preserve"> </w:t>
            </w:r>
          </w:p>
        </w:tc>
      </w:tr>
      <w:tr w:rsidR="00D8578E" w:rsidRPr="00F20DCA" w14:paraId="7DF3C39A" w14:textId="77777777" w:rsidTr="00C85C85">
        <w:tc>
          <w:tcPr>
            <w:tcW w:w="1524" w:type="dxa"/>
            <w:shd w:val="clear" w:color="auto" w:fill="auto"/>
          </w:tcPr>
          <w:p w14:paraId="389DF8B7" w14:textId="77777777" w:rsidR="003C56C7" w:rsidRPr="003C56C7" w:rsidRDefault="003C56C7" w:rsidP="003C56C7">
            <w:pPr>
              <w:ind w:right="-20"/>
              <w:rPr>
                <w:color w:val="000000"/>
                <w:sz w:val="18"/>
                <w:szCs w:val="18"/>
                <w:lang w:val="en-US" w:eastAsia="ja-JP"/>
              </w:rPr>
            </w:pPr>
            <w:r w:rsidRPr="003C56C7">
              <w:rPr>
                <w:color w:val="000000"/>
                <w:sz w:val="18"/>
                <w:szCs w:val="18"/>
                <w:lang w:val="en-US" w:eastAsia="ja-JP"/>
              </w:rPr>
              <w:t xml:space="preserve">Component 4: </w:t>
            </w:r>
            <w:bookmarkStart w:id="15" w:name="_Hlk177487631"/>
            <w:r w:rsidRPr="003C56C7">
              <w:rPr>
                <w:color w:val="000000"/>
                <w:sz w:val="18"/>
                <w:szCs w:val="18"/>
                <w:lang w:val="en-US" w:eastAsia="ja-JP"/>
              </w:rPr>
              <w:t xml:space="preserve">Technical assistance to support good servicing practices in the refrigeration sector </w:t>
            </w:r>
          </w:p>
          <w:bookmarkEnd w:id="15"/>
          <w:p w14:paraId="574D79CF" w14:textId="7F12C4B3" w:rsidR="00D8578E" w:rsidRPr="003C56C7" w:rsidRDefault="00D8578E" w:rsidP="00A92397">
            <w:pPr>
              <w:jc w:val="left"/>
              <w:rPr>
                <w:sz w:val="18"/>
                <w:szCs w:val="18"/>
                <w:lang w:val="en-US"/>
              </w:rPr>
            </w:pPr>
          </w:p>
        </w:tc>
        <w:tc>
          <w:tcPr>
            <w:tcW w:w="2521" w:type="dxa"/>
            <w:shd w:val="clear" w:color="auto" w:fill="auto"/>
          </w:tcPr>
          <w:p w14:paraId="7740A082" w14:textId="7A78CAE8" w:rsidR="003C56C7" w:rsidRDefault="003C56C7" w:rsidP="003C56C7">
            <w:pPr>
              <w:pStyle w:val="Default"/>
              <w:ind w:left="70"/>
              <w:jc w:val="both"/>
              <w:rPr>
                <w:sz w:val="18"/>
                <w:szCs w:val="18"/>
              </w:rPr>
            </w:pPr>
            <w:r w:rsidRPr="003C56C7">
              <w:rPr>
                <w:b/>
                <w:bCs/>
                <w:sz w:val="18"/>
                <w:szCs w:val="18"/>
              </w:rPr>
              <w:t xml:space="preserve">Activity 4.1: </w:t>
            </w:r>
            <w:r w:rsidRPr="003C56C7">
              <w:rPr>
                <w:sz w:val="18"/>
                <w:szCs w:val="18"/>
              </w:rPr>
              <w:t>Supply the Customs Department</w:t>
            </w:r>
            <w:r w:rsidR="004A6017">
              <w:rPr>
                <w:sz w:val="18"/>
                <w:szCs w:val="18"/>
              </w:rPr>
              <w:t xml:space="preserve"> and Environmental Supervision Department </w:t>
            </w:r>
            <w:r w:rsidRPr="003C56C7">
              <w:rPr>
                <w:sz w:val="18"/>
                <w:szCs w:val="18"/>
              </w:rPr>
              <w:t xml:space="preserve">with the basic set of up to 15 refrigerant identifiers and 15 leak detectors along with personal protective equipment (PPE) (protective glasses, gloves) and spare parts for equipment. </w:t>
            </w:r>
          </w:p>
          <w:p w14:paraId="6B2D8B0A" w14:textId="77777777" w:rsidR="0062250B" w:rsidRDefault="0062250B" w:rsidP="003C56C7">
            <w:pPr>
              <w:pStyle w:val="Default"/>
              <w:ind w:left="70"/>
              <w:jc w:val="both"/>
              <w:rPr>
                <w:sz w:val="18"/>
                <w:szCs w:val="18"/>
              </w:rPr>
            </w:pPr>
          </w:p>
          <w:p w14:paraId="4EFBC49F" w14:textId="77777777" w:rsidR="0062250B" w:rsidRPr="003C56C7" w:rsidRDefault="0062250B" w:rsidP="003C56C7">
            <w:pPr>
              <w:pStyle w:val="Default"/>
              <w:ind w:left="70"/>
              <w:jc w:val="both"/>
              <w:rPr>
                <w:sz w:val="18"/>
                <w:szCs w:val="18"/>
              </w:rPr>
            </w:pPr>
          </w:p>
          <w:p w14:paraId="430A76D7" w14:textId="77777777" w:rsidR="003C56C7" w:rsidRDefault="003C56C7" w:rsidP="003C56C7">
            <w:pPr>
              <w:rPr>
                <w:sz w:val="18"/>
                <w:szCs w:val="18"/>
                <w:lang w:val="en-US"/>
              </w:rPr>
            </w:pPr>
          </w:p>
          <w:p w14:paraId="78E63B1D" w14:textId="77777777" w:rsidR="0062250B" w:rsidRDefault="0062250B" w:rsidP="003C56C7">
            <w:pPr>
              <w:rPr>
                <w:sz w:val="18"/>
                <w:szCs w:val="18"/>
                <w:lang w:val="en-US"/>
              </w:rPr>
            </w:pPr>
          </w:p>
          <w:p w14:paraId="4C103C3E" w14:textId="77777777" w:rsidR="0062250B" w:rsidRDefault="0062250B" w:rsidP="003C56C7">
            <w:pPr>
              <w:rPr>
                <w:sz w:val="18"/>
                <w:szCs w:val="18"/>
                <w:lang w:val="en-US"/>
              </w:rPr>
            </w:pPr>
          </w:p>
          <w:p w14:paraId="6EFD3846" w14:textId="77777777" w:rsidR="0062250B" w:rsidRDefault="0062250B" w:rsidP="003C56C7">
            <w:pPr>
              <w:rPr>
                <w:sz w:val="18"/>
                <w:szCs w:val="18"/>
                <w:lang w:val="en-US"/>
              </w:rPr>
            </w:pPr>
          </w:p>
          <w:p w14:paraId="067A24AF" w14:textId="58452083" w:rsidR="0062250B" w:rsidRPr="003C56C7" w:rsidRDefault="0062250B" w:rsidP="003C56C7">
            <w:pPr>
              <w:rPr>
                <w:sz w:val="18"/>
                <w:szCs w:val="18"/>
                <w:lang w:val="en-US"/>
              </w:rPr>
            </w:pPr>
            <w:r w:rsidRPr="0062250B">
              <w:rPr>
                <w:sz w:val="18"/>
                <w:szCs w:val="18"/>
                <w:lang w:val="en-US"/>
              </w:rPr>
              <w:lastRenderedPageBreak/>
              <w:t>Activity 4.5.  Stakeholder coordination, advisory, and  oversight of components</w:t>
            </w:r>
          </w:p>
        </w:tc>
        <w:tc>
          <w:tcPr>
            <w:tcW w:w="3554" w:type="dxa"/>
            <w:shd w:val="clear" w:color="auto" w:fill="auto"/>
          </w:tcPr>
          <w:p w14:paraId="7516FE5A" w14:textId="3BEAD4AA" w:rsidR="00D8578E" w:rsidRDefault="004A6017" w:rsidP="00A92397">
            <w:pPr>
              <w:jc w:val="left"/>
              <w:rPr>
                <w:rFonts w:ascii="Sylfaen" w:hAnsi="Sylfaen"/>
                <w:sz w:val="18"/>
                <w:szCs w:val="18"/>
                <w:lang w:val="en-US"/>
              </w:rPr>
            </w:pPr>
            <w:r>
              <w:rPr>
                <w:rFonts w:ascii="Sylfaen" w:hAnsi="Sylfaen"/>
                <w:sz w:val="18"/>
                <w:szCs w:val="18"/>
                <w:lang w:val="en-US"/>
              </w:rPr>
              <w:lastRenderedPageBreak/>
              <w:t xml:space="preserve">4.1.-  Due to the global problem with the refrigerant identifiers’ spare parts on the Global market, only four identifiers were purchased for the Customs department. </w:t>
            </w:r>
          </w:p>
          <w:p w14:paraId="18FF8BBD" w14:textId="3E603917" w:rsidR="004A6017" w:rsidRDefault="004A6017" w:rsidP="00A92397">
            <w:pPr>
              <w:jc w:val="left"/>
              <w:rPr>
                <w:rFonts w:ascii="Sylfaen" w:hAnsi="Sylfaen"/>
                <w:sz w:val="18"/>
                <w:szCs w:val="18"/>
                <w:lang w:val="en-US"/>
              </w:rPr>
            </w:pPr>
            <w:r>
              <w:rPr>
                <w:rFonts w:ascii="Sylfaen" w:hAnsi="Sylfaen"/>
                <w:sz w:val="18"/>
                <w:szCs w:val="18"/>
                <w:lang w:val="en-US"/>
              </w:rPr>
              <w:t xml:space="preserve">- Purchasing of the leak detectors is in progress and will be purchased before the end of </w:t>
            </w:r>
            <w:proofErr w:type="gramStart"/>
            <w:r>
              <w:rPr>
                <w:rFonts w:ascii="Sylfaen" w:hAnsi="Sylfaen"/>
                <w:sz w:val="18"/>
                <w:szCs w:val="18"/>
                <w:lang w:val="en-US"/>
              </w:rPr>
              <w:t>November,</w:t>
            </w:r>
            <w:proofErr w:type="gramEnd"/>
            <w:r>
              <w:rPr>
                <w:rFonts w:ascii="Sylfaen" w:hAnsi="Sylfaen"/>
                <w:sz w:val="18"/>
                <w:szCs w:val="18"/>
                <w:lang w:val="en-US"/>
              </w:rPr>
              <w:t xml:space="preserve"> 2024.</w:t>
            </w:r>
          </w:p>
          <w:p w14:paraId="28806480" w14:textId="77777777" w:rsidR="004A6017" w:rsidRDefault="004A6017" w:rsidP="005437DA">
            <w:pPr>
              <w:rPr>
                <w:sz w:val="18"/>
                <w:szCs w:val="18"/>
                <w:lang w:val="en-US"/>
              </w:rPr>
            </w:pPr>
            <w:r>
              <w:rPr>
                <w:rFonts w:ascii="Sylfaen" w:hAnsi="Sylfaen"/>
                <w:sz w:val="18"/>
                <w:szCs w:val="18"/>
                <w:lang w:val="en-US"/>
              </w:rPr>
              <w:t>-</w:t>
            </w:r>
            <w:r w:rsidRPr="00886773">
              <w:rPr>
                <w:sz w:val="18"/>
                <w:szCs w:val="18"/>
                <w:lang w:val="en-US"/>
              </w:rPr>
              <w:t xml:space="preserve"> </w:t>
            </w:r>
            <w:r w:rsidR="005437DA">
              <w:rPr>
                <w:sz w:val="18"/>
                <w:szCs w:val="18"/>
                <w:lang w:val="en-US"/>
              </w:rPr>
              <w:t xml:space="preserve">Following to the Kigali amendment, </w:t>
            </w:r>
            <w:r>
              <w:rPr>
                <w:sz w:val="18"/>
                <w:szCs w:val="18"/>
                <w:lang w:val="en-US"/>
              </w:rPr>
              <w:t>adoption</w:t>
            </w:r>
            <w:r w:rsidR="005437DA">
              <w:rPr>
                <w:sz w:val="18"/>
                <w:szCs w:val="18"/>
                <w:lang w:val="en-US"/>
              </w:rPr>
              <w:t xml:space="preserve"> of</w:t>
            </w:r>
            <w:r>
              <w:rPr>
                <w:sz w:val="18"/>
                <w:szCs w:val="18"/>
                <w:lang w:val="en-US"/>
              </w:rPr>
              <w:t xml:space="preserve"> </w:t>
            </w:r>
            <w:r w:rsidR="005437DA">
              <w:rPr>
                <w:sz w:val="18"/>
                <w:szCs w:val="18"/>
                <w:lang w:val="en-US"/>
              </w:rPr>
              <w:t>the</w:t>
            </w:r>
            <w:r>
              <w:rPr>
                <w:sz w:val="18"/>
                <w:szCs w:val="18"/>
                <w:lang w:val="en-US"/>
              </w:rPr>
              <w:t xml:space="preserve"> new </w:t>
            </w:r>
            <w:r w:rsidRPr="00886773">
              <w:rPr>
                <w:sz w:val="18"/>
                <w:szCs w:val="18"/>
                <w:lang w:val="en-US"/>
              </w:rPr>
              <w:t>legislative changes</w:t>
            </w:r>
            <w:r>
              <w:rPr>
                <w:sz w:val="18"/>
                <w:szCs w:val="18"/>
                <w:lang w:val="en-US"/>
              </w:rPr>
              <w:t xml:space="preserve"> </w:t>
            </w:r>
            <w:r w:rsidRPr="004A6017">
              <w:rPr>
                <w:sz w:val="18"/>
                <w:szCs w:val="18"/>
                <w:lang w:val="en-US"/>
              </w:rPr>
              <w:t xml:space="preserve">on 16 </w:t>
            </w:r>
            <w:r w:rsidR="0062335F" w:rsidRPr="004A6017">
              <w:rPr>
                <w:sz w:val="18"/>
                <w:szCs w:val="18"/>
                <w:lang w:val="en-US"/>
              </w:rPr>
              <w:t>June</w:t>
            </w:r>
            <w:r w:rsidRPr="004A6017">
              <w:rPr>
                <w:sz w:val="18"/>
                <w:szCs w:val="18"/>
                <w:lang w:val="en-US"/>
              </w:rPr>
              <w:t xml:space="preserve"> 2023</w:t>
            </w:r>
            <w:r w:rsidRPr="0062335F">
              <w:rPr>
                <w:sz w:val="18"/>
                <w:szCs w:val="18"/>
                <w:lang w:val="en-US"/>
              </w:rPr>
              <w:t xml:space="preserve">, </w:t>
            </w:r>
            <w:r w:rsidR="005437DA" w:rsidRPr="0062335F">
              <w:rPr>
                <w:sz w:val="18"/>
                <w:szCs w:val="18"/>
                <w:lang w:val="en-US"/>
              </w:rPr>
              <w:t>set</w:t>
            </w:r>
            <w:r w:rsidR="0062335F">
              <w:rPr>
                <w:sz w:val="18"/>
                <w:szCs w:val="18"/>
                <w:lang w:val="en-US"/>
              </w:rPr>
              <w:t xml:space="preserve"> the</w:t>
            </w:r>
            <w:r w:rsidR="005437DA">
              <w:rPr>
                <w:sz w:val="18"/>
                <w:szCs w:val="18"/>
                <w:lang w:val="en-US"/>
              </w:rPr>
              <w:t xml:space="preserve"> </w:t>
            </w:r>
            <w:r w:rsidR="00021ADE">
              <w:rPr>
                <w:sz w:val="18"/>
                <w:szCs w:val="18"/>
                <w:lang w:val="en-US"/>
              </w:rPr>
              <w:t xml:space="preserve">new obligations for the </w:t>
            </w:r>
            <w:r w:rsidR="005437DA">
              <w:rPr>
                <w:sz w:val="18"/>
                <w:szCs w:val="18"/>
                <w:lang w:val="en-US"/>
              </w:rPr>
              <w:t>Environmental</w:t>
            </w:r>
            <w:r w:rsidR="00021ADE">
              <w:rPr>
                <w:sz w:val="18"/>
                <w:szCs w:val="18"/>
                <w:lang w:val="en-US"/>
              </w:rPr>
              <w:t xml:space="preserve"> Inspectors</w:t>
            </w:r>
            <w:r w:rsidR="005437DA">
              <w:rPr>
                <w:sz w:val="18"/>
                <w:szCs w:val="18"/>
                <w:lang w:val="en-US"/>
              </w:rPr>
              <w:t>. To fulfill these obligations, with PEB decision 8 armored tablets had been purchased</w:t>
            </w:r>
            <w:r w:rsidR="00923838">
              <w:rPr>
                <w:sz w:val="18"/>
                <w:szCs w:val="18"/>
                <w:lang w:val="en-US"/>
              </w:rPr>
              <w:t>, through the international procurement procedures.</w:t>
            </w:r>
          </w:p>
          <w:p w14:paraId="1D546E0A" w14:textId="77777777" w:rsidR="0062250B" w:rsidRDefault="0062250B" w:rsidP="005437DA">
            <w:pPr>
              <w:rPr>
                <w:rFonts w:asciiTheme="minorHAnsi" w:hAnsiTheme="minorHAnsi"/>
                <w:sz w:val="18"/>
                <w:szCs w:val="18"/>
                <w:lang w:val="ka-GE"/>
              </w:rPr>
            </w:pPr>
          </w:p>
          <w:p w14:paraId="16DDF19E" w14:textId="338E25BA" w:rsidR="0062250B" w:rsidRPr="00021ADE" w:rsidRDefault="00E367DF" w:rsidP="005437DA">
            <w:pPr>
              <w:rPr>
                <w:rFonts w:asciiTheme="minorHAnsi" w:hAnsiTheme="minorHAnsi"/>
                <w:sz w:val="18"/>
                <w:szCs w:val="18"/>
                <w:lang w:val="ka-GE"/>
              </w:rPr>
            </w:pPr>
            <w:r>
              <w:rPr>
                <w:rFonts w:asciiTheme="minorHAnsi" w:hAnsiTheme="minorHAnsi"/>
                <w:sz w:val="18"/>
                <w:szCs w:val="18"/>
                <w:lang w:val="ka-GE"/>
              </w:rPr>
              <w:lastRenderedPageBreak/>
              <w:t>2</w:t>
            </w:r>
            <w:r w:rsidR="00573C8F">
              <w:rPr>
                <w:rFonts w:asciiTheme="minorHAnsi" w:hAnsiTheme="minorHAnsi"/>
                <w:sz w:val="18"/>
                <w:szCs w:val="18"/>
                <w:lang w:val="ka-GE"/>
              </w:rPr>
              <w:t xml:space="preserve"> stakholder coordination meeting</w:t>
            </w:r>
            <w:r>
              <w:rPr>
                <w:rFonts w:asciiTheme="minorHAnsi" w:hAnsiTheme="minorHAnsi"/>
                <w:sz w:val="18"/>
                <w:szCs w:val="18"/>
                <w:lang w:val="ka-GE"/>
              </w:rPr>
              <w:t>s</w:t>
            </w:r>
            <w:r w:rsidR="00573C8F">
              <w:rPr>
                <w:rFonts w:asciiTheme="minorHAnsi" w:hAnsiTheme="minorHAnsi"/>
                <w:sz w:val="18"/>
                <w:szCs w:val="18"/>
                <w:lang w:val="ka-GE"/>
              </w:rPr>
              <w:t xml:space="preserve"> w</w:t>
            </w:r>
            <w:r>
              <w:rPr>
                <w:rFonts w:asciiTheme="minorHAnsi" w:hAnsiTheme="minorHAnsi"/>
                <w:sz w:val="18"/>
                <w:szCs w:val="18"/>
                <w:lang w:val="ka-GE"/>
              </w:rPr>
              <w:t>ere</w:t>
            </w:r>
            <w:r w:rsidR="00573C8F">
              <w:rPr>
                <w:rFonts w:asciiTheme="minorHAnsi" w:hAnsiTheme="minorHAnsi"/>
                <w:sz w:val="18"/>
                <w:szCs w:val="18"/>
                <w:lang w:val="ka-GE"/>
              </w:rPr>
              <w:t xml:space="preserve"> condicted </w:t>
            </w:r>
            <w:r>
              <w:rPr>
                <w:rFonts w:asciiTheme="minorHAnsi" w:hAnsiTheme="minorHAnsi"/>
                <w:sz w:val="18"/>
                <w:szCs w:val="18"/>
                <w:lang w:val="ka-GE"/>
              </w:rPr>
              <w:t>within 2024. In total up to 25 partcipants participated in the meetings, out of them 12 (48%) were females.</w:t>
            </w:r>
          </w:p>
        </w:tc>
        <w:tc>
          <w:tcPr>
            <w:tcW w:w="2071" w:type="dxa"/>
            <w:shd w:val="clear" w:color="auto" w:fill="auto"/>
          </w:tcPr>
          <w:p w14:paraId="5B8AFC09" w14:textId="77777777" w:rsidR="00D8578E" w:rsidRPr="00F20DCA" w:rsidRDefault="00D8578E" w:rsidP="00A92397">
            <w:pPr>
              <w:jc w:val="left"/>
              <w:rPr>
                <w:sz w:val="18"/>
                <w:szCs w:val="18"/>
                <w:highlight w:val="yellow"/>
              </w:rPr>
            </w:pPr>
            <w:r w:rsidRPr="00725AB4">
              <w:rPr>
                <w:sz w:val="18"/>
                <w:szCs w:val="18"/>
              </w:rPr>
              <w:lastRenderedPageBreak/>
              <w:t>In progress</w:t>
            </w:r>
          </w:p>
        </w:tc>
      </w:tr>
    </w:tbl>
    <w:p w14:paraId="14D056AD" w14:textId="77777777" w:rsidR="000B4027" w:rsidRPr="0076515D" w:rsidRDefault="000B4027" w:rsidP="0076515D">
      <w:pPr>
        <w:pStyle w:val="ListParagraph"/>
        <w:rPr>
          <w:b/>
          <w:iCs/>
        </w:rPr>
      </w:pPr>
    </w:p>
    <w:p w14:paraId="06DFA902" w14:textId="7B5C2AC7" w:rsidR="00F4498D" w:rsidRPr="008E6C50" w:rsidRDefault="000F380E" w:rsidP="0076515D">
      <w:pPr>
        <w:rPr>
          <w:bCs/>
          <w:iCs/>
        </w:rPr>
      </w:pPr>
      <w:r w:rsidRPr="008E6C50">
        <w:rPr>
          <w:bCs/>
          <w:iCs/>
        </w:rPr>
        <w:t xml:space="preserve">*Activity 1.4 will be conducted under Tranche 2 </w:t>
      </w:r>
      <w:proofErr w:type="gramStart"/>
      <w:r w:rsidRPr="008E6C50">
        <w:rPr>
          <w:bCs/>
          <w:iCs/>
        </w:rPr>
        <w:t>and  Activity</w:t>
      </w:r>
      <w:proofErr w:type="gramEnd"/>
      <w:r w:rsidRPr="008E6C50">
        <w:rPr>
          <w:bCs/>
          <w:iCs/>
        </w:rPr>
        <w:t xml:space="preserve"> 1.6 will be financed through </w:t>
      </w:r>
      <w:r w:rsidR="00F4498D" w:rsidRPr="00F4498D">
        <w:rPr>
          <w:bCs/>
          <w:iCs/>
        </w:rPr>
        <w:t>parallel</w:t>
      </w:r>
      <w:r w:rsidRPr="008E6C50">
        <w:rPr>
          <w:bCs/>
          <w:iCs/>
        </w:rPr>
        <w:t xml:space="preserve"> funding.</w:t>
      </w:r>
    </w:p>
    <w:p w14:paraId="7F86975C" w14:textId="1BCEE746" w:rsidR="005B11FD" w:rsidRDefault="00F4498D" w:rsidP="0076515D">
      <w:pPr>
        <w:rPr>
          <w:bCs/>
          <w:iCs/>
        </w:rPr>
      </w:pPr>
      <w:r>
        <w:rPr>
          <w:bCs/>
          <w:iCs/>
        </w:rPr>
        <w:t>**</w:t>
      </w:r>
      <w:r w:rsidRPr="00DE6CA3">
        <w:rPr>
          <w:bCs/>
          <w:iCs/>
        </w:rPr>
        <w:t xml:space="preserve">Activity </w:t>
      </w:r>
      <w:r>
        <w:rPr>
          <w:bCs/>
          <w:iCs/>
        </w:rPr>
        <w:t xml:space="preserve">2.2 and 2.7 </w:t>
      </w:r>
      <w:r w:rsidRPr="00DE6CA3">
        <w:rPr>
          <w:bCs/>
          <w:iCs/>
        </w:rPr>
        <w:t xml:space="preserve">will be </w:t>
      </w:r>
      <w:r>
        <w:rPr>
          <w:bCs/>
          <w:iCs/>
        </w:rPr>
        <w:t>initiated</w:t>
      </w:r>
      <w:r w:rsidRPr="00DE6CA3">
        <w:rPr>
          <w:bCs/>
          <w:iCs/>
        </w:rPr>
        <w:t xml:space="preserve"> </w:t>
      </w:r>
      <w:r>
        <w:rPr>
          <w:bCs/>
          <w:iCs/>
        </w:rPr>
        <w:t xml:space="preserve">through </w:t>
      </w:r>
      <w:r w:rsidRPr="00DE6CA3">
        <w:rPr>
          <w:bCs/>
          <w:iCs/>
        </w:rPr>
        <w:t>Tranche 2</w:t>
      </w:r>
      <w:r>
        <w:rPr>
          <w:bCs/>
          <w:iCs/>
        </w:rPr>
        <w:t xml:space="preserve"> while Activity 2.9 will be at Tranche 4.</w:t>
      </w:r>
    </w:p>
    <w:p w14:paraId="1B79A498" w14:textId="7D9A0ADC" w:rsidR="00F4498D" w:rsidRDefault="00F4498D" w:rsidP="0076515D">
      <w:pPr>
        <w:rPr>
          <w:bCs/>
          <w:iCs/>
        </w:rPr>
      </w:pPr>
      <w:r>
        <w:rPr>
          <w:bCs/>
          <w:iCs/>
        </w:rPr>
        <w:t>***</w:t>
      </w:r>
      <w:r w:rsidRPr="00DE6CA3">
        <w:rPr>
          <w:bCs/>
          <w:iCs/>
        </w:rPr>
        <w:t xml:space="preserve">Activity </w:t>
      </w:r>
      <w:r>
        <w:rPr>
          <w:bCs/>
          <w:iCs/>
        </w:rPr>
        <w:t>3.3 and 3.4</w:t>
      </w:r>
      <w:r w:rsidRPr="00DE6CA3">
        <w:rPr>
          <w:bCs/>
          <w:iCs/>
        </w:rPr>
        <w:t xml:space="preserve"> will be conducted under Tranche 2</w:t>
      </w:r>
      <w:r>
        <w:rPr>
          <w:bCs/>
          <w:iCs/>
        </w:rPr>
        <w:t>.</w:t>
      </w:r>
    </w:p>
    <w:p w14:paraId="474060D0" w14:textId="21A9891A" w:rsidR="00F4498D" w:rsidRPr="008E6C50" w:rsidRDefault="00F4498D" w:rsidP="0076515D">
      <w:pPr>
        <w:rPr>
          <w:bCs/>
          <w:iCs/>
        </w:rPr>
      </w:pPr>
      <w:r>
        <w:rPr>
          <w:bCs/>
          <w:iCs/>
        </w:rPr>
        <w:t>****</w:t>
      </w:r>
      <w:r w:rsidRPr="008E6C50">
        <w:rPr>
          <w:bCs/>
          <w:iCs/>
        </w:rPr>
        <w:t xml:space="preserve">Activity </w:t>
      </w:r>
      <w:proofErr w:type="gramStart"/>
      <w:r w:rsidRPr="008E6C50">
        <w:rPr>
          <w:bCs/>
          <w:iCs/>
        </w:rPr>
        <w:t>4.2a,b.</w:t>
      </w:r>
      <w:proofErr w:type="gramEnd"/>
      <w:r>
        <w:rPr>
          <w:bCs/>
          <w:iCs/>
        </w:rPr>
        <w:t xml:space="preserve"> and 4.3 </w:t>
      </w:r>
      <w:r w:rsidRPr="00DE6CA3">
        <w:rPr>
          <w:bCs/>
          <w:iCs/>
        </w:rPr>
        <w:t>will be conducted under Tranche 2</w:t>
      </w:r>
      <w:r>
        <w:rPr>
          <w:bCs/>
          <w:iCs/>
        </w:rPr>
        <w:t xml:space="preserve"> while 4.5 will be at Tranche</w:t>
      </w:r>
      <w:r w:rsidR="004C4097">
        <w:rPr>
          <w:bCs/>
          <w:iCs/>
        </w:rPr>
        <w:t>s</w:t>
      </w:r>
      <w:r>
        <w:rPr>
          <w:bCs/>
          <w:iCs/>
        </w:rPr>
        <w:t xml:space="preserve"> </w:t>
      </w:r>
      <w:r w:rsidR="004C4097">
        <w:rPr>
          <w:bCs/>
          <w:iCs/>
        </w:rPr>
        <w:t xml:space="preserve">2, </w:t>
      </w:r>
      <w:r>
        <w:rPr>
          <w:bCs/>
          <w:iCs/>
        </w:rPr>
        <w:t>3</w:t>
      </w:r>
      <w:r w:rsidR="004C4097">
        <w:rPr>
          <w:bCs/>
          <w:iCs/>
        </w:rPr>
        <w:t xml:space="preserve"> and 4</w:t>
      </w:r>
    </w:p>
    <w:p w14:paraId="5A53DC2C" w14:textId="77777777" w:rsidR="005B11FD" w:rsidRDefault="005B11FD" w:rsidP="0076515D">
      <w:pPr>
        <w:rPr>
          <w:b/>
          <w:iCs/>
        </w:rPr>
      </w:pPr>
    </w:p>
    <w:p w14:paraId="4EF2860E" w14:textId="77777777" w:rsidR="005B11FD" w:rsidRDefault="005B11FD" w:rsidP="0076515D">
      <w:pPr>
        <w:rPr>
          <w:b/>
          <w:iCs/>
        </w:rPr>
      </w:pPr>
    </w:p>
    <w:p w14:paraId="38A0E37D" w14:textId="5E3268FC" w:rsidR="00B067FD" w:rsidRPr="0076515D" w:rsidRDefault="00B201EB" w:rsidP="0076515D">
      <w:pPr>
        <w:rPr>
          <w:b/>
          <w:iCs/>
        </w:rPr>
      </w:pPr>
      <w:r w:rsidRPr="0076515D">
        <w:rPr>
          <w:b/>
          <w:iCs/>
        </w:rPr>
        <w:t xml:space="preserve">Results </w:t>
      </w:r>
      <w:r w:rsidR="005B11FD" w:rsidRPr="0076515D">
        <w:rPr>
          <w:b/>
          <w:iCs/>
        </w:rPr>
        <w:t>achieved</w:t>
      </w:r>
    </w:p>
    <w:p w14:paraId="4B811958" w14:textId="77777777" w:rsidR="0076515D" w:rsidRDefault="0076515D" w:rsidP="0076515D">
      <w:pPr>
        <w:rPr>
          <w:b/>
          <w:iCs/>
        </w:rPr>
      </w:pPr>
    </w:p>
    <w:p w14:paraId="3E133AE7" w14:textId="784F5464" w:rsidR="0062335F" w:rsidRPr="0064752B" w:rsidRDefault="0076515D" w:rsidP="0062335F">
      <w:pPr>
        <w:rPr>
          <w:rFonts w:asciiTheme="minorHAnsi" w:hAnsiTheme="minorHAnsi"/>
          <w:lang w:val="ka-GE"/>
        </w:rPr>
      </w:pPr>
      <w:r w:rsidRPr="00520EAA">
        <w:t xml:space="preserve">In the reporting period the work </w:t>
      </w:r>
      <w:r w:rsidR="00EB28FB">
        <w:t xml:space="preserve">was </w:t>
      </w:r>
      <w:r w:rsidRPr="00520EAA">
        <w:t>focused on capacity building</w:t>
      </w:r>
      <w:r w:rsidR="00A82A66">
        <w:t xml:space="preserve">, legal and regulatory </w:t>
      </w:r>
      <w:r w:rsidR="0062335F">
        <w:t>measures,</w:t>
      </w:r>
      <w:r w:rsidR="00EB28FB">
        <w:t xml:space="preserve"> and technical assistance. </w:t>
      </w:r>
    </w:p>
    <w:p w14:paraId="68FF481A" w14:textId="7FFD64D0" w:rsidR="0062335F" w:rsidRDefault="0062335F" w:rsidP="00C668CB">
      <w:r w:rsidRPr="0062335F">
        <w:t xml:space="preserve">After ratification of the Kigali amendment in Georgia on 05 May 2023, package of legislative changes </w:t>
      </w:r>
      <w:proofErr w:type="gramStart"/>
      <w:r w:rsidR="00C668CB">
        <w:t>were</w:t>
      </w:r>
      <w:proofErr w:type="gramEnd"/>
      <w:r w:rsidR="00C668CB">
        <w:t xml:space="preserve"> prepared and</w:t>
      </w:r>
      <w:r w:rsidRPr="0062335F">
        <w:t xml:space="preserve"> adopted on 16 June, 2023</w:t>
      </w:r>
      <w:r w:rsidR="00C668CB">
        <w:t>, with support of the Project/HPMP-II 1</w:t>
      </w:r>
      <w:r w:rsidR="00C668CB" w:rsidRPr="00C668CB">
        <w:rPr>
          <w:vertAlign w:val="superscript"/>
        </w:rPr>
        <w:t>st</w:t>
      </w:r>
      <w:r w:rsidR="00C668CB">
        <w:t xml:space="preserve"> tranche.</w:t>
      </w:r>
      <w:r w:rsidRPr="0062335F">
        <w:t xml:space="preserve"> </w:t>
      </w:r>
      <w:r w:rsidR="0064752B">
        <w:rPr>
          <w:rFonts w:ascii="Sylfaen" w:hAnsi="Sylfaen"/>
        </w:rPr>
        <w:t>C</w:t>
      </w:r>
      <w:r w:rsidR="001A42F0">
        <w:t>hanges</w:t>
      </w:r>
      <w:r w:rsidR="0064752B">
        <w:t xml:space="preserve"> entered into a force step by step</w:t>
      </w:r>
      <w:r w:rsidR="00B30329">
        <w:t>,</w:t>
      </w:r>
      <w:r w:rsidR="0064752B">
        <w:t xml:space="preserve"> beginning with end of 2023 </w:t>
      </w:r>
      <w:r w:rsidR="00C668CB">
        <w:t>until January</w:t>
      </w:r>
      <w:r w:rsidR="0064752B">
        <w:t xml:space="preserve"> 2024</w:t>
      </w:r>
      <w:r w:rsidR="00B30329">
        <w:t xml:space="preserve">, </w:t>
      </w:r>
      <w:r w:rsidR="00C668CB">
        <w:rPr>
          <w:lang w:val="en-US"/>
        </w:rPr>
        <w:t>set new mandatory requirements for the Environmental inspectors, customs officers, owners of ODS using equipment, business sector representative and RAC service representatives; Also</w:t>
      </w:r>
      <w:r w:rsidRPr="0062335F">
        <w:t xml:space="preserve"> using the web-based electronic reporting and permit system</w:t>
      </w:r>
      <w:r w:rsidR="0064752B">
        <w:t xml:space="preserve">, </w:t>
      </w:r>
      <w:r w:rsidR="00C668CB">
        <w:t>became mandatory. Because of the above mentioned, capacity building activities and round table meetings had been prioritised among the other activities. Relevantly more than planned training</w:t>
      </w:r>
      <w:r w:rsidR="00864F1A">
        <w:t>s</w:t>
      </w:r>
      <w:r w:rsidR="00C668CB">
        <w:t xml:space="preserve"> and Meeting</w:t>
      </w:r>
      <w:r w:rsidR="00864F1A">
        <w:t>s</w:t>
      </w:r>
      <w:r w:rsidR="00C668CB">
        <w:t xml:space="preserve"> had been conducted within the HPMP – II 1</w:t>
      </w:r>
      <w:r w:rsidR="00C668CB" w:rsidRPr="00C668CB">
        <w:rPr>
          <w:vertAlign w:val="superscript"/>
        </w:rPr>
        <w:t>st</w:t>
      </w:r>
      <w:r w:rsidR="00C668CB">
        <w:t xml:space="preserve"> </w:t>
      </w:r>
      <w:r w:rsidR="00864F1A">
        <w:t>Tranche</w:t>
      </w:r>
      <w:r w:rsidR="00C668CB">
        <w:t>.</w:t>
      </w:r>
    </w:p>
    <w:p w14:paraId="3EAA62F7" w14:textId="32754F7E" w:rsidR="00864F1A" w:rsidRPr="00864F1A" w:rsidRDefault="00864F1A" w:rsidP="00864F1A">
      <w:proofErr w:type="gramStart"/>
      <w:r>
        <w:t>In order to</w:t>
      </w:r>
      <w:proofErr w:type="gramEnd"/>
      <w:r>
        <w:t xml:space="preserve"> implement the demonstration project within the next second tranche, preparatory works had been started within the current 1</w:t>
      </w:r>
      <w:r w:rsidRPr="00864F1A">
        <w:rPr>
          <w:vertAlign w:val="superscript"/>
        </w:rPr>
        <w:t>st</w:t>
      </w:r>
      <w:r>
        <w:t xml:space="preserve"> tranche. </w:t>
      </w:r>
      <w:bookmarkStart w:id="16" w:name="_Hlk177510500"/>
      <w:r>
        <w:t>Particularly, a</w:t>
      </w:r>
      <w:r w:rsidRPr="00864F1A">
        <w:t xml:space="preserve">nalysis of obstacles of technology transfer/inflow </w:t>
      </w:r>
      <w:r>
        <w:t>including</w:t>
      </w:r>
      <w:r w:rsidRPr="00864F1A">
        <w:t xml:space="preserve"> recommendations </w:t>
      </w:r>
      <w:r>
        <w:t xml:space="preserve">and </w:t>
      </w:r>
      <w:r w:rsidRPr="00864F1A">
        <w:t>development</w:t>
      </w:r>
      <w:r>
        <w:t xml:space="preserve"> of</w:t>
      </w:r>
      <w:r w:rsidRPr="00864F1A">
        <w:t xml:space="preserve"> detailed scope for the technology demonstration programme, </w:t>
      </w:r>
      <w:r>
        <w:t>are under the development and will be finalised before the end of 2024</w:t>
      </w:r>
      <w:bookmarkEnd w:id="16"/>
      <w:r>
        <w:t>.</w:t>
      </w:r>
    </w:p>
    <w:p w14:paraId="04A6D05F" w14:textId="29A37C4B" w:rsidR="00864F1A" w:rsidRPr="00864F1A" w:rsidRDefault="00864F1A" w:rsidP="00C668CB"/>
    <w:p w14:paraId="1BA94FB4" w14:textId="37116C82" w:rsidR="00864F1A" w:rsidRPr="00864F1A" w:rsidRDefault="00864F1A" w:rsidP="00C668CB">
      <w:pPr>
        <w:rPr>
          <w:color w:val="000000"/>
          <w:lang w:eastAsia="en-GB"/>
        </w:rPr>
      </w:pPr>
      <w:r>
        <w:rPr>
          <w:color w:val="000000"/>
          <w:lang w:eastAsia="en-GB"/>
        </w:rPr>
        <w:t>As part of the technical assistance, identifiers and armoured tablets had been purchased for the Customs officers and Environmental inspectors. Purchasing the leaking detectors is in progress.</w:t>
      </w:r>
    </w:p>
    <w:p w14:paraId="6ED50BCD" w14:textId="77777777" w:rsidR="00864F1A" w:rsidRDefault="00864F1A" w:rsidP="00C668CB">
      <w:pPr>
        <w:rPr>
          <w:b/>
          <w:bCs/>
          <w:color w:val="000000"/>
          <w:lang w:eastAsia="en-GB"/>
        </w:rPr>
      </w:pPr>
    </w:p>
    <w:p w14:paraId="01F83CF9" w14:textId="6BF31F29" w:rsidR="00B067FD" w:rsidRPr="00AB3444" w:rsidRDefault="00B067FD" w:rsidP="00B067FD">
      <w:pPr>
        <w:jc w:val="left"/>
        <w:rPr>
          <w:b/>
          <w:bCs/>
          <w:color w:val="000000"/>
          <w:lang w:eastAsia="en-GB"/>
        </w:rPr>
      </w:pPr>
      <w:r w:rsidRPr="00AB3444">
        <w:rPr>
          <w:b/>
          <w:bCs/>
          <w:color w:val="000000"/>
          <w:lang w:eastAsia="en-GB"/>
        </w:rPr>
        <w:t>Activity 1</w:t>
      </w:r>
      <w:r w:rsidR="00EF3F5E">
        <w:rPr>
          <w:b/>
          <w:bCs/>
          <w:color w:val="000000"/>
          <w:lang w:eastAsia="en-GB"/>
        </w:rPr>
        <w:t>:</w:t>
      </w:r>
      <w:r w:rsidRPr="00AB3444">
        <w:rPr>
          <w:b/>
          <w:bCs/>
          <w:color w:val="000000"/>
          <w:lang w:eastAsia="en-GB"/>
        </w:rPr>
        <w:t xml:space="preserve"> </w:t>
      </w:r>
      <w:r w:rsidR="003D3595" w:rsidRPr="00AB3444">
        <w:rPr>
          <w:rFonts w:cstheme="minorHAnsi"/>
          <w:b/>
          <w:bCs/>
          <w:color w:val="000000"/>
        </w:rPr>
        <w:t>Legal and regulatory measures</w:t>
      </w:r>
    </w:p>
    <w:p w14:paraId="2B47BD6D" w14:textId="77777777" w:rsidR="00B067FD" w:rsidRDefault="00B067FD" w:rsidP="00B067FD">
      <w:pPr>
        <w:jc w:val="left"/>
        <w:rPr>
          <w:b/>
          <w:bCs/>
          <w:color w:val="000000"/>
          <w:lang w:eastAsia="en-GB"/>
        </w:rPr>
      </w:pPr>
    </w:p>
    <w:p w14:paraId="2489A269" w14:textId="327C9543" w:rsidR="00F70767" w:rsidRDefault="00833FB9" w:rsidP="00833FB9">
      <w:r>
        <w:t>In Georgia, a</w:t>
      </w:r>
      <w:r w:rsidR="003802DB" w:rsidRPr="00833FB9">
        <w:t xml:space="preserve">fter ratification of the Kigali amendment on 05 May 2023, package of legislative changes was adopted on 16 </w:t>
      </w:r>
      <w:proofErr w:type="gramStart"/>
      <w:r w:rsidR="003802DB" w:rsidRPr="00833FB9">
        <w:t>June,</w:t>
      </w:r>
      <w:proofErr w:type="gramEnd"/>
      <w:r w:rsidR="003802DB" w:rsidRPr="00833FB9">
        <w:t xml:space="preserve"> 2023</w:t>
      </w:r>
      <w:r>
        <w:t xml:space="preserve"> with support of HPMP – II 1s tranche project. Changes </w:t>
      </w:r>
      <w:r w:rsidRPr="00833FB9">
        <w:t xml:space="preserve">aims to improve the national management system of refrigerants, including </w:t>
      </w:r>
      <w:r>
        <w:t xml:space="preserve">HFCs management; </w:t>
      </w:r>
      <w:r w:rsidRPr="00833FB9">
        <w:t>improve the quality of service in the heat pumps, air conditioning and refrigeration sector, and to implement the commitments made within the framework of the Kigali Amendment.</w:t>
      </w:r>
      <w:r w:rsidR="00F70767">
        <w:t xml:space="preserve"> </w:t>
      </w:r>
    </w:p>
    <w:p w14:paraId="408511B4" w14:textId="4F285216" w:rsidR="00F70767" w:rsidRDefault="00F70767" w:rsidP="00F70767">
      <w:pPr>
        <w:ind w:firstLine="360"/>
      </w:pPr>
      <w:r>
        <w:t>In particular:</w:t>
      </w:r>
    </w:p>
    <w:p w14:paraId="53B7926B" w14:textId="46C7968A" w:rsidR="00F70767" w:rsidRPr="00F70767" w:rsidRDefault="00F70767" w:rsidP="00FA316F">
      <w:pPr>
        <w:pStyle w:val="ListParagraph"/>
        <w:numPr>
          <w:ilvl w:val="0"/>
          <w:numId w:val="25"/>
        </w:numPr>
        <w:rPr>
          <w:rFonts w:ascii="Sylfaen" w:hAnsi="Sylfaen" w:cs="Sylfaen"/>
          <w:lang w:val="ka-GE"/>
        </w:rPr>
      </w:pPr>
      <w:r>
        <w:t>R</w:t>
      </w:r>
      <w:r w:rsidRPr="00F70767">
        <w:t>equirements for leakage monitoring, collection, recovery, recycling and disposal of refrigerants</w:t>
      </w:r>
      <w:r>
        <w:t xml:space="preserve"> including HFCs and their transboundary shipment</w:t>
      </w:r>
      <w:r w:rsidR="006B7207">
        <w:t xml:space="preserve"> were </w:t>
      </w:r>
      <w:proofErr w:type="gramStart"/>
      <w:r w:rsidR="006B7207">
        <w:t>established</w:t>
      </w:r>
      <w:r>
        <w:t>;</w:t>
      </w:r>
      <w:proofErr w:type="gramEnd"/>
    </w:p>
    <w:p w14:paraId="58D003E2" w14:textId="56C27E6F" w:rsidR="006B7207" w:rsidRDefault="00F70767" w:rsidP="00FA316F">
      <w:pPr>
        <w:pStyle w:val="ListParagraph"/>
        <w:numPr>
          <w:ilvl w:val="0"/>
          <w:numId w:val="25"/>
        </w:numPr>
      </w:pPr>
      <w:proofErr w:type="gramStart"/>
      <w:r w:rsidRPr="00F70767">
        <w:t>In order to</w:t>
      </w:r>
      <w:proofErr w:type="gramEnd"/>
      <w:r w:rsidRPr="00F70767">
        <w:t xml:space="preserve"> improve the management and </w:t>
      </w:r>
      <w:r>
        <w:rPr>
          <w:rFonts w:ascii="Sylfaen" w:hAnsi="Sylfaen"/>
          <w:lang w:val="en-US"/>
        </w:rPr>
        <w:t>monitoring</w:t>
      </w:r>
      <w:r w:rsidRPr="00F70767">
        <w:t xml:space="preserve"> of refrigerants, </w:t>
      </w:r>
      <w:r>
        <w:t xml:space="preserve">web-based </w:t>
      </w:r>
      <w:r w:rsidRPr="00F70767">
        <w:t>electronic system</w:t>
      </w:r>
      <w:r>
        <w:t xml:space="preserve"> (ERMS)</w:t>
      </w:r>
      <w:r w:rsidRPr="00F70767">
        <w:t xml:space="preserve"> for managing refrigerants, including HFCs, was </w:t>
      </w:r>
      <w:r>
        <w:t>established</w:t>
      </w:r>
      <w:r w:rsidRPr="00F70767">
        <w:t>.</w:t>
      </w:r>
      <w:r>
        <w:t xml:space="preserve"> </w:t>
      </w:r>
      <w:r w:rsidRPr="00F70767">
        <w:t xml:space="preserve">According to the legislative changes, the owner of a stationary device working on a substance under the Montreal Protocol of 3 kg or more than 3 kg, as well as a certified person, </w:t>
      </w:r>
      <w:r>
        <w:t>are</w:t>
      </w:r>
      <w:r w:rsidRPr="00F70767">
        <w:t xml:space="preserve"> obliged to keep an electronic log.</w:t>
      </w:r>
    </w:p>
    <w:p w14:paraId="0CFA7649" w14:textId="40D4BD62" w:rsidR="006B7207" w:rsidRDefault="006B7207" w:rsidP="00FA316F">
      <w:pPr>
        <w:pStyle w:val="ListParagraph"/>
        <w:numPr>
          <w:ilvl w:val="0"/>
          <w:numId w:val="25"/>
        </w:numPr>
        <w:tabs>
          <w:tab w:val="left" w:pos="360"/>
        </w:tabs>
      </w:pPr>
      <w:r>
        <w:t>Mandatory certification system of the RAC service technicians was introduced.</w:t>
      </w:r>
      <w:r w:rsidR="0099639C" w:rsidRPr="0099639C">
        <w:rPr>
          <w:rFonts w:asciiTheme="minorHAnsi" w:hAnsiTheme="minorHAnsi" w:cstheme="minorHAnsi"/>
        </w:rPr>
        <w:t xml:space="preserve"> </w:t>
      </w:r>
      <w:r w:rsidR="0099639C">
        <w:t>C</w:t>
      </w:r>
      <w:r w:rsidR="0099639C" w:rsidRPr="0099639C">
        <w:t>ertification system ensure</w:t>
      </w:r>
      <w:r w:rsidR="0099639C">
        <w:t>s</w:t>
      </w:r>
      <w:r w:rsidR="0099639C" w:rsidRPr="0099639C">
        <w:t xml:space="preserve"> that besides knowledge, certified technicians have adequate level of skills.</w:t>
      </w:r>
    </w:p>
    <w:p w14:paraId="1F7B0BEA" w14:textId="77777777" w:rsidR="00833FB9" w:rsidRPr="00833FB9" w:rsidRDefault="00833FB9" w:rsidP="00833FB9">
      <w:pPr>
        <w:rPr>
          <w:color w:val="000000"/>
          <w:lang w:eastAsia="en-GB"/>
        </w:rPr>
      </w:pPr>
    </w:p>
    <w:p w14:paraId="4E84CBE0" w14:textId="7077039A" w:rsidR="00833FB9" w:rsidRPr="00833FB9" w:rsidRDefault="00833FB9" w:rsidP="00833FB9">
      <w:pPr>
        <w:rPr>
          <w:color w:val="000000"/>
          <w:lang w:eastAsia="en-GB"/>
        </w:rPr>
      </w:pPr>
      <w:r w:rsidRPr="00833FB9">
        <w:rPr>
          <w:color w:val="000000"/>
          <w:lang w:eastAsia="en-GB"/>
        </w:rPr>
        <w:t xml:space="preserve">20 trainings had been conducted for end-users, environmental inspectors and technicians for using the electronic reporting tool.  In Total 336 persons were trained. Among them 55 females (16 %). There was not planned to train so many persons, but taking into the consideration that using WEB-based ERM system is mandatory from the </w:t>
      </w:r>
      <w:r w:rsidRPr="00833FB9">
        <w:rPr>
          <w:color w:val="000000"/>
          <w:lang w:eastAsia="en-GB"/>
        </w:rPr>
        <w:lastRenderedPageBreak/>
        <w:t xml:space="preserve">beginning of 2024, </w:t>
      </w:r>
      <w:proofErr w:type="spellStart"/>
      <w:r w:rsidRPr="00833FB9">
        <w:rPr>
          <w:color w:val="000000"/>
          <w:lang w:eastAsia="en-GB"/>
        </w:rPr>
        <w:t>NoU</w:t>
      </w:r>
      <w:proofErr w:type="spellEnd"/>
      <w:r w:rsidRPr="00833FB9">
        <w:rPr>
          <w:color w:val="000000"/>
          <w:lang w:eastAsia="en-GB"/>
        </w:rPr>
        <w:t xml:space="preserve"> considered these trainings crucial and requested to conduct as much as possible trainings within this tranche. </w:t>
      </w:r>
    </w:p>
    <w:p w14:paraId="578E2F3C" w14:textId="77777777" w:rsidR="00833FB9" w:rsidRPr="00833FB9" w:rsidRDefault="00833FB9" w:rsidP="00833FB9">
      <w:pPr>
        <w:rPr>
          <w:color w:val="000000"/>
          <w:lang w:eastAsia="en-GB"/>
        </w:rPr>
      </w:pPr>
    </w:p>
    <w:p w14:paraId="5710FC47" w14:textId="0A68FCF6" w:rsidR="006B7207" w:rsidRDefault="006B7207" w:rsidP="006B7207">
      <w:pPr>
        <w:rPr>
          <w:color w:val="000000"/>
          <w:lang w:eastAsia="en-GB"/>
        </w:rPr>
      </w:pPr>
      <w:r w:rsidRPr="00833FB9">
        <w:rPr>
          <w:color w:val="000000"/>
          <w:lang w:eastAsia="en-GB"/>
        </w:rPr>
        <w:t>Detailed study on policy options for incentivizing the HCFC reuse management</w:t>
      </w:r>
      <w:r>
        <w:rPr>
          <w:color w:val="000000"/>
          <w:lang w:eastAsia="en-GB"/>
        </w:rPr>
        <w:t xml:space="preserve"> and </w:t>
      </w:r>
      <w:r w:rsidRPr="00833FB9">
        <w:rPr>
          <w:color w:val="000000"/>
          <w:lang w:eastAsia="en-GB"/>
        </w:rPr>
        <w:t xml:space="preserve">incentivizing import and use of zero-low GWP based RAC systems is </w:t>
      </w:r>
      <w:r>
        <w:rPr>
          <w:color w:val="000000"/>
          <w:lang w:eastAsia="en-GB"/>
        </w:rPr>
        <w:t xml:space="preserve">developed. </w:t>
      </w:r>
    </w:p>
    <w:p w14:paraId="5A7E2C2A" w14:textId="25DE3CA2" w:rsidR="00833FB9" w:rsidRPr="00833FB9" w:rsidRDefault="006B7207" w:rsidP="00833FB9">
      <w:pPr>
        <w:rPr>
          <w:color w:val="000000"/>
          <w:lang w:eastAsia="en-GB"/>
        </w:rPr>
      </w:pPr>
      <w:r>
        <w:rPr>
          <w:color w:val="000000"/>
          <w:lang w:eastAsia="en-GB"/>
        </w:rPr>
        <w:t>Based on the study, n</w:t>
      </w:r>
      <w:r w:rsidRPr="00833FB9">
        <w:rPr>
          <w:color w:val="000000"/>
          <w:lang w:eastAsia="en-GB"/>
        </w:rPr>
        <w:t xml:space="preserve">ecessary legislative amendment package </w:t>
      </w:r>
      <w:r>
        <w:rPr>
          <w:color w:val="000000"/>
          <w:lang w:eastAsia="en-GB"/>
        </w:rPr>
        <w:t xml:space="preserve">including </w:t>
      </w:r>
      <w:r w:rsidR="00833FB9" w:rsidRPr="00833FB9">
        <w:rPr>
          <w:color w:val="000000"/>
          <w:lang w:eastAsia="en-GB"/>
        </w:rPr>
        <w:t>legislative acts for introducing Green Public Procurement (GPP) criteria for procuring environmentally friendly RAC systems is in progress.</w:t>
      </w:r>
      <w:r>
        <w:rPr>
          <w:color w:val="000000"/>
          <w:lang w:eastAsia="en-GB"/>
        </w:rPr>
        <w:t xml:space="preserve"> </w:t>
      </w:r>
      <w:proofErr w:type="spellStart"/>
      <w:r>
        <w:rPr>
          <w:color w:val="000000"/>
          <w:lang w:eastAsia="en-GB"/>
        </w:rPr>
        <w:t>ToR</w:t>
      </w:r>
      <w:proofErr w:type="spellEnd"/>
      <w:r>
        <w:rPr>
          <w:color w:val="000000"/>
          <w:lang w:eastAsia="en-GB"/>
        </w:rPr>
        <w:t xml:space="preserve"> is developed and relevant expert is selected. Package will be ready by the end of 2024.</w:t>
      </w:r>
    </w:p>
    <w:p w14:paraId="2BEBBF37" w14:textId="77777777" w:rsidR="00833FB9" w:rsidRDefault="00833FB9" w:rsidP="00833FB9">
      <w:pPr>
        <w:rPr>
          <w:color w:val="000000"/>
          <w:lang w:eastAsia="en-GB"/>
        </w:rPr>
      </w:pPr>
    </w:p>
    <w:p w14:paraId="3087FE72" w14:textId="48D66C1F" w:rsidR="007A3884" w:rsidRPr="007A3884" w:rsidRDefault="007A3884" w:rsidP="007A3884">
      <w:pPr>
        <w:rPr>
          <w:color w:val="000000"/>
          <w:lang w:eastAsia="en-GB"/>
        </w:rPr>
      </w:pPr>
      <w:r w:rsidRPr="007A3884">
        <w:rPr>
          <w:color w:val="000000"/>
          <w:lang w:eastAsia="en-GB"/>
        </w:rPr>
        <w:t xml:space="preserve">Increased application of zero/low GWP alternatives, that also include flammable and/or toxic refrigerants, increases the risk of accidents associated with the use of such refrigerants. Therefore, strengthening the capacity of technicians in this respect is key. Particular attention in this respect </w:t>
      </w:r>
      <w:r>
        <w:rPr>
          <w:color w:val="000000"/>
          <w:lang w:eastAsia="en-GB"/>
        </w:rPr>
        <w:t>was</w:t>
      </w:r>
      <w:r w:rsidRPr="007A3884">
        <w:rPr>
          <w:color w:val="000000"/>
          <w:lang w:eastAsia="en-GB"/>
        </w:rPr>
        <w:t xml:space="preserve"> paid to further developing the qualification standards of technicians</w:t>
      </w:r>
      <w:r>
        <w:rPr>
          <w:color w:val="000000"/>
          <w:lang w:eastAsia="en-GB"/>
        </w:rPr>
        <w:t xml:space="preserve">. In this regards </w:t>
      </w:r>
      <w:r w:rsidRPr="00833FB9">
        <w:rPr>
          <w:color w:val="000000"/>
          <w:lang w:eastAsia="en-GB"/>
        </w:rPr>
        <w:t>Professional qualification standards for the Level 4 Technicians is developed in close cooperation with the Skills Development Agency and Ministry of Education</w:t>
      </w:r>
      <w:r>
        <w:rPr>
          <w:color w:val="000000"/>
          <w:lang w:eastAsia="en-GB"/>
        </w:rPr>
        <w:t xml:space="preserve">, </w:t>
      </w:r>
      <w:proofErr w:type="spellStart"/>
      <w:r>
        <w:rPr>
          <w:color w:val="000000"/>
          <w:lang w:eastAsia="en-GB"/>
        </w:rPr>
        <w:t>MoEPA</w:t>
      </w:r>
      <w:proofErr w:type="spellEnd"/>
      <w:r>
        <w:rPr>
          <w:color w:val="000000"/>
          <w:lang w:eastAsia="en-GB"/>
        </w:rPr>
        <w:t xml:space="preserve"> and experts</w:t>
      </w:r>
      <w:r w:rsidR="0099639C">
        <w:rPr>
          <w:color w:val="000000"/>
          <w:lang w:eastAsia="en-GB"/>
        </w:rPr>
        <w:t>.</w:t>
      </w:r>
    </w:p>
    <w:p w14:paraId="18851145" w14:textId="77777777" w:rsidR="0099639C" w:rsidRDefault="0099639C" w:rsidP="00833FB9">
      <w:pPr>
        <w:rPr>
          <w:color w:val="000000"/>
          <w:lang w:eastAsia="en-GB"/>
        </w:rPr>
      </w:pPr>
    </w:p>
    <w:p w14:paraId="794322AE" w14:textId="20D22A1A" w:rsidR="0099639C" w:rsidRPr="0099639C" w:rsidRDefault="0099639C" w:rsidP="0099639C">
      <w:pPr>
        <w:rPr>
          <w:color w:val="000000"/>
          <w:lang w:eastAsia="en-GB"/>
        </w:rPr>
      </w:pPr>
      <w:r w:rsidRPr="0099639C">
        <w:rPr>
          <w:color w:val="000000"/>
          <w:lang w:eastAsia="en-GB"/>
        </w:rPr>
        <w:t>Revis</w:t>
      </w:r>
      <w:r>
        <w:rPr>
          <w:color w:val="000000"/>
          <w:lang w:eastAsia="en-GB"/>
        </w:rPr>
        <w:t>ion of</w:t>
      </w:r>
      <w:r w:rsidRPr="0099639C">
        <w:rPr>
          <w:color w:val="000000"/>
          <w:lang w:eastAsia="en-GB"/>
        </w:rPr>
        <w:t xml:space="preserve"> the Standards for Safety and Environmental Requirements for Refrigeration Systems and Heat Pumps Services (with particular focus on flammability, high-pressure and toxicity considerations) in line with the international standard under preparation “UFDIS-ISO 22712 - Refrigerating systems and heat pumps”</w:t>
      </w:r>
      <w:r w:rsidR="00444996">
        <w:rPr>
          <w:color w:val="000000"/>
          <w:lang w:eastAsia="en-GB"/>
        </w:rPr>
        <w:t xml:space="preserve"> is in progress and will be ready by the end of this year.</w:t>
      </w:r>
      <w:r w:rsidRPr="0099639C">
        <w:rPr>
          <w:color w:val="000000"/>
          <w:lang w:eastAsia="en-GB"/>
        </w:rPr>
        <w:t xml:space="preserve">  </w:t>
      </w:r>
    </w:p>
    <w:p w14:paraId="0F423049" w14:textId="77777777" w:rsidR="0099639C" w:rsidRPr="00833FB9" w:rsidRDefault="0099639C" w:rsidP="00833FB9">
      <w:pPr>
        <w:rPr>
          <w:color w:val="000000"/>
          <w:lang w:eastAsia="en-GB"/>
        </w:rPr>
      </w:pPr>
    </w:p>
    <w:p w14:paraId="1CA0E9CD" w14:textId="77777777" w:rsidR="003D3595" w:rsidRPr="00833FB9" w:rsidRDefault="003D3595" w:rsidP="00833FB9">
      <w:pPr>
        <w:rPr>
          <w:color w:val="000000"/>
          <w:lang w:eastAsia="en-GB"/>
        </w:rPr>
      </w:pPr>
    </w:p>
    <w:p w14:paraId="1363CA6F" w14:textId="09F36827" w:rsidR="003D3595" w:rsidRDefault="00394D46" w:rsidP="00B067FD">
      <w:pPr>
        <w:rPr>
          <w:rFonts w:cstheme="minorHAnsi"/>
          <w:b/>
          <w:bCs/>
        </w:rPr>
      </w:pPr>
      <w:r w:rsidRPr="00C47541">
        <w:rPr>
          <w:b/>
          <w:bCs/>
        </w:rPr>
        <w:t xml:space="preserve">Activity 2:  </w:t>
      </w:r>
      <w:r w:rsidR="00444996" w:rsidRPr="00444996">
        <w:rPr>
          <w:rFonts w:cstheme="minorHAnsi"/>
          <w:b/>
          <w:bCs/>
        </w:rPr>
        <w:t>Capacity building</w:t>
      </w:r>
      <w:r w:rsidR="00836803">
        <w:rPr>
          <w:rFonts w:cstheme="minorHAnsi"/>
          <w:b/>
          <w:bCs/>
        </w:rPr>
        <w:t xml:space="preserve"> and</w:t>
      </w:r>
      <w:r w:rsidR="00444996" w:rsidRPr="00444996">
        <w:rPr>
          <w:rFonts w:cstheme="minorHAnsi"/>
          <w:b/>
          <w:bCs/>
        </w:rPr>
        <w:t xml:space="preserve"> training</w:t>
      </w:r>
    </w:p>
    <w:p w14:paraId="14F60492" w14:textId="77777777" w:rsidR="006C759F" w:rsidRDefault="006C759F" w:rsidP="00B067FD">
      <w:pPr>
        <w:rPr>
          <w:rFonts w:cstheme="minorHAnsi"/>
          <w:b/>
          <w:bCs/>
        </w:rPr>
      </w:pPr>
    </w:p>
    <w:p w14:paraId="7163C9B6" w14:textId="3F303279" w:rsidR="006C759F" w:rsidRDefault="006C759F" w:rsidP="006C759F">
      <w:pPr>
        <w:spacing w:after="160"/>
        <w:rPr>
          <w:rFonts w:asciiTheme="minorHAnsi" w:hAnsiTheme="minorHAnsi" w:cstheme="minorHAnsi"/>
        </w:rPr>
      </w:pPr>
      <w:r w:rsidRPr="00CB4DAF">
        <w:rPr>
          <w:rFonts w:asciiTheme="minorHAnsi" w:hAnsiTheme="minorHAnsi" w:cstheme="minorHAnsi"/>
        </w:rPr>
        <w:t>I</w:t>
      </w:r>
      <w:r w:rsidRPr="006C759F">
        <w:rPr>
          <w:color w:val="000000"/>
          <w:lang w:eastAsia="en-GB"/>
        </w:rPr>
        <w:t xml:space="preserve">n the area of capacity building, </w:t>
      </w:r>
      <w:r w:rsidR="002919FB">
        <w:rPr>
          <w:color w:val="000000"/>
          <w:lang w:eastAsia="en-GB"/>
        </w:rPr>
        <w:t>within the HPMP – II 1</w:t>
      </w:r>
      <w:r w:rsidR="002919FB" w:rsidRPr="002919FB">
        <w:rPr>
          <w:color w:val="000000"/>
          <w:vertAlign w:val="superscript"/>
          <w:lang w:eastAsia="en-GB"/>
        </w:rPr>
        <w:t>st</w:t>
      </w:r>
      <w:r w:rsidR="002919FB">
        <w:rPr>
          <w:color w:val="000000"/>
          <w:lang w:eastAsia="en-GB"/>
        </w:rPr>
        <w:t xml:space="preserve"> </w:t>
      </w:r>
      <w:proofErr w:type="gramStart"/>
      <w:r w:rsidR="002919FB">
        <w:rPr>
          <w:color w:val="000000"/>
          <w:lang w:eastAsia="en-GB"/>
        </w:rPr>
        <w:t>tranche ,</w:t>
      </w:r>
      <w:r w:rsidRPr="006C759F">
        <w:rPr>
          <w:color w:val="000000"/>
          <w:lang w:eastAsia="en-GB"/>
        </w:rPr>
        <w:t>Georgia</w:t>
      </w:r>
      <w:proofErr w:type="gramEnd"/>
      <w:r w:rsidRPr="006C759F">
        <w:rPr>
          <w:color w:val="000000"/>
          <w:lang w:eastAsia="en-GB"/>
        </w:rPr>
        <w:t xml:space="preserve"> caried out measures to strengthen technical capacities of Customs officers, environmental inspectors and technicians servicing RAC equipment.  </w:t>
      </w:r>
      <w:proofErr w:type="gramStart"/>
      <w:r w:rsidRPr="006C759F">
        <w:rPr>
          <w:color w:val="000000"/>
          <w:lang w:eastAsia="en-GB"/>
        </w:rPr>
        <w:t xml:space="preserve">In particular, </w:t>
      </w:r>
      <w:r w:rsidR="002919FB">
        <w:rPr>
          <w:color w:val="000000"/>
          <w:lang w:eastAsia="en-GB"/>
        </w:rPr>
        <w:t>90</w:t>
      </w:r>
      <w:proofErr w:type="gramEnd"/>
      <w:r w:rsidRPr="006C759F">
        <w:rPr>
          <w:color w:val="000000"/>
          <w:lang w:eastAsia="en-GB"/>
        </w:rPr>
        <w:t xml:space="preserve"> Customs officers received training in the ODS import-export control </w:t>
      </w:r>
      <w:r w:rsidR="002919FB">
        <w:rPr>
          <w:color w:val="000000"/>
          <w:lang w:eastAsia="en-GB"/>
        </w:rPr>
        <w:t xml:space="preserve">and in the newly introduced legislation following to the Kigali amendment; In total 6 (2 days each) trainings had been conducted for them.  </w:t>
      </w:r>
      <w:r w:rsidRPr="006C759F">
        <w:rPr>
          <w:color w:val="000000"/>
          <w:lang w:eastAsia="en-GB"/>
        </w:rPr>
        <w:t xml:space="preserve">Over </w:t>
      </w:r>
      <w:r w:rsidR="002919FB">
        <w:rPr>
          <w:color w:val="000000"/>
          <w:lang w:eastAsia="en-GB"/>
        </w:rPr>
        <w:t>135</w:t>
      </w:r>
      <w:r w:rsidRPr="006C759F">
        <w:rPr>
          <w:color w:val="000000"/>
          <w:lang w:eastAsia="en-GB"/>
        </w:rPr>
        <w:t xml:space="preserve"> environmental inspectors have been </w:t>
      </w:r>
      <w:r w:rsidRPr="001364A3">
        <w:rPr>
          <w:color w:val="000000"/>
          <w:lang w:eastAsia="en-GB"/>
        </w:rPr>
        <w:t>familiarized with the HCFC22 based appliances/installations and their uses in various sectors and trained in conducting inspections in facilities operating refrigeration and air conditioning systems.</w:t>
      </w:r>
      <w:r w:rsidRPr="006C759F">
        <w:rPr>
          <w:color w:val="000000"/>
          <w:lang w:eastAsia="en-GB"/>
        </w:rPr>
        <w:t xml:space="preserve"> </w:t>
      </w:r>
      <w:r w:rsidR="002919FB">
        <w:rPr>
          <w:color w:val="000000"/>
          <w:lang w:eastAsia="en-GB"/>
        </w:rPr>
        <w:t>In Total 10 training sessions had been conducted for the environmental inspectors. Up to 200</w:t>
      </w:r>
      <w:r w:rsidRPr="006C759F">
        <w:rPr>
          <w:color w:val="000000"/>
          <w:lang w:eastAsia="en-GB"/>
        </w:rPr>
        <w:t xml:space="preserve"> RAC service technicians</w:t>
      </w:r>
      <w:r w:rsidR="001364A3">
        <w:rPr>
          <w:color w:val="000000"/>
          <w:lang w:eastAsia="en-GB"/>
        </w:rPr>
        <w:t>, trough 10 training sessions</w:t>
      </w:r>
      <w:r w:rsidRPr="006C759F">
        <w:rPr>
          <w:color w:val="000000"/>
          <w:lang w:eastAsia="en-GB"/>
        </w:rPr>
        <w:t xml:space="preserve"> improved their knowledge and skills </w:t>
      </w:r>
      <w:r w:rsidR="001364A3" w:rsidRPr="006A046A">
        <w:rPr>
          <w:color w:val="000000"/>
          <w:lang w:eastAsia="en-GB"/>
        </w:rPr>
        <w:t>on good refrigeration practices and alternative refrigerants</w:t>
      </w:r>
      <w:r w:rsidRPr="006C759F">
        <w:rPr>
          <w:color w:val="000000"/>
          <w:lang w:eastAsia="en-GB"/>
        </w:rPr>
        <w:t>. They have been also informed about legal requirements concerning the consumption of ODS in the RAC sector, application and handling of low or zero GWP alternatives, including natural refrigerants, alternative technologies and energy efficiency measures.</w:t>
      </w:r>
      <w:r w:rsidRPr="00CB4DAF">
        <w:rPr>
          <w:rFonts w:asciiTheme="minorHAnsi" w:hAnsiTheme="minorHAnsi" w:cstheme="minorHAnsi"/>
        </w:rPr>
        <w:t xml:space="preserve"> </w:t>
      </w:r>
    </w:p>
    <w:p w14:paraId="6F88F183" w14:textId="523F1DAE" w:rsidR="00394D46" w:rsidRPr="00930B47" w:rsidRDefault="001364A3" w:rsidP="00930B47">
      <w:pPr>
        <w:spacing w:after="160"/>
        <w:rPr>
          <w:color w:val="000000"/>
          <w:lang w:eastAsia="en-GB"/>
        </w:rPr>
      </w:pPr>
      <w:r w:rsidRPr="001364A3">
        <w:rPr>
          <w:color w:val="000000"/>
          <w:lang w:eastAsia="en-GB"/>
        </w:rPr>
        <w:t>In total</w:t>
      </w:r>
      <w:r>
        <w:rPr>
          <w:color w:val="000000"/>
          <w:lang w:eastAsia="en-GB"/>
        </w:rPr>
        <w:t>,</w:t>
      </w:r>
      <w:r w:rsidRPr="001364A3">
        <w:rPr>
          <w:color w:val="000000"/>
          <w:lang w:eastAsia="en-GB"/>
        </w:rPr>
        <w:t xml:space="preserve"> </w:t>
      </w:r>
      <w:r>
        <w:rPr>
          <w:color w:val="000000"/>
          <w:lang w:eastAsia="en-GB"/>
        </w:rPr>
        <w:t>within the 1</w:t>
      </w:r>
      <w:r w:rsidRPr="001364A3">
        <w:rPr>
          <w:color w:val="000000"/>
          <w:vertAlign w:val="superscript"/>
          <w:lang w:eastAsia="en-GB"/>
        </w:rPr>
        <w:t>st</w:t>
      </w:r>
      <w:r>
        <w:rPr>
          <w:color w:val="000000"/>
          <w:lang w:eastAsia="en-GB"/>
        </w:rPr>
        <w:t xml:space="preserve"> tranche, 426 persons had been trained through 26 training sessions. </w:t>
      </w:r>
      <w:r w:rsidR="00D13FB0">
        <w:rPr>
          <w:color w:val="000000"/>
          <w:lang w:eastAsia="en-GB"/>
        </w:rPr>
        <w:t>Out of 426 trainees, 150 (35</w:t>
      </w:r>
      <w:r w:rsidR="00AD4AD3">
        <w:rPr>
          <w:color w:val="000000"/>
          <w:lang w:eastAsia="en-GB"/>
        </w:rPr>
        <w:t xml:space="preserve">,2 </w:t>
      </w:r>
      <w:r w:rsidR="00D13FB0">
        <w:rPr>
          <w:color w:val="000000"/>
          <w:lang w:eastAsia="en-GB"/>
        </w:rPr>
        <w:t>%) were females.</w:t>
      </w:r>
    </w:p>
    <w:p w14:paraId="6FE55B3A" w14:textId="0A968617" w:rsidR="00B067FD" w:rsidRPr="00AB3444" w:rsidRDefault="003D3595" w:rsidP="00B067FD">
      <w:pPr>
        <w:rPr>
          <w:rFonts w:cstheme="minorHAnsi"/>
          <w:b/>
          <w:bCs/>
        </w:rPr>
      </w:pPr>
      <w:r w:rsidRPr="00AB3444">
        <w:rPr>
          <w:b/>
          <w:bCs/>
          <w:lang w:eastAsia="en-GB"/>
        </w:rPr>
        <w:t>Activity 3</w:t>
      </w:r>
      <w:r w:rsidR="00EF3F5E">
        <w:rPr>
          <w:b/>
          <w:bCs/>
          <w:lang w:eastAsia="en-GB"/>
        </w:rPr>
        <w:t>:</w:t>
      </w:r>
      <w:r w:rsidRPr="00AB3444">
        <w:rPr>
          <w:b/>
          <w:bCs/>
          <w:lang w:eastAsia="en-GB"/>
        </w:rPr>
        <w:t xml:space="preserve"> </w:t>
      </w:r>
      <w:r w:rsidR="00836803" w:rsidRPr="00836803">
        <w:rPr>
          <w:rFonts w:cstheme="minorHAnsi"/>
          <w:b/>
          <w:bCs/>
          <w:lang w:val="en-US"/>
        </w:rPr>
        <w:t>Demonstration projects</w:t>
      </w:r>
    </w:p>
    <w:p w14:paraId="3C96D8DE" w14:textId="77777777" w:rsidR="003D3595" w:rsidRPr="00AB3444" w:rsidRDefault="003D3595" w:rsidP="00B067FD">
      <w:pPr>
        <w:rPr>
          <w:rFonts w:cstheme="minorHAnsi"/>
          <w:color w:val="000000"/>
        </w:rPr>
      </w:pPr>
    </w:p>
    <w:p w14:paraId="33B830A1" w14:textId="6360F6FD" w:rsidR="006A046A" w:rsidRPr="00930B47" w:rsidRDefault="00930B47" w:rsidP="00930B47">
      <w:pPr>
        <w:spacing w:after="160"/>
        <w:rPr>
          <w:color w:val="000000"/>
          <w:lang w:eastAsia="en-GB"/>
        </w:rPr>
      </w:pPr>
      <w:r>
        <w:rPr>
          <w:color w:val="000000"/>
          <w:lang w:eastAsia="en-GB"/>
        </w:rPr>
        <w:t xml:space="preserve">Implementation of the </w:t>
      </w:r>
      <w:r w:rsidR="001364A3" w:rsidRPr="001364A3">
        <w:rPr>
          <w:color w:val="000000"/>
          <w:lang w:eastAsia="en-GB"/>
        </w:rPr>
        <w:t>Demonstration Project</w:t>
      </w:r>
      <w:r w:rsidR="001364A3">
        <w:rPr>
          <w:color w:val="000000"/>
          <w:lang w:eastAsia="en-GB"/>
        </w:rPr>
        <w:t xml:space="preserve">, </w:t>
      </w:r>
      <w:r>
        <w:rPr>
          <w:color w:val="000000"/>
          <w:lang w:eastAsia="en-GB"/>
        </w:rPr>
        <w:t xml:space="preserve">which aims </w:t>
      </w:r>
      <w:r w:rsidRPr="001364A3">
        <w:rPr>
          <w:color w:val="000000"/>
          <w:lang w:eastAsia="en-GB"/>
        </w:rPr>
        <w:t>to</w:t>
      </w:r>
      <w:r>
        <w:rPr>
          <w:color w:val="000000"/>
          <w:lang w:eastAsia="en-GB"/>
        </w:rPr>
        <w:t xml:space="preserve"> </w:t>
      </w:r>
      <w:r w:rsidR="001364A3" w:rsidRPr="001364A3">
        <w:rPr>
          <w:color w:val="000000"/>
          <w:lang w:eastAsia="en-GB"/>
        </w:rPr>
        <w:t>promot</w:t>
      </w:r>
      <w:r>
        <w:rPr>
          <w:color w:val="000000"/>
          <w:lang w:eastAsia="en-GB"/>
        </w:rPr>
        <w:t>e</w:t>
      </w:r>
      <w:r w:rsidR="001364A3" w:rsidRPr="001364A3">
        <w:rPr>
          <w:color w:val="000000"/>
          <w:lang w:eastAsia="en-GB"/>
        </w:rPr>
        <w:t xml:space="preserve"> the application of low-GWP technologies having significant potential for broad application in Georgia</w:t>
      </w:r>
      <w:r>
        <w:rPr>
          <w:color w:val="000000"/>
          <w:lang w:eastAsia="en-GB"/>
        </w:rPr>
        <w:t xml:space="preserve">, is planned to be implemented within the next tranche. But preparatory works for the smooth implementation of the demonstration project is in progress. </w:t>
      </w:r>
      <w:r>
        <w:t>Particularly, a</w:t>
      </w:r>
      <w:r w:rsidRPr="00864F1A">
        <w:t xml:space="preserve">nalysis of obstacles of technology transfer/inflow </w:t>
      </w:r>
      <w:r>
        <w:t>including</w:t>
      </w:r>
      <w:r w:rsidRPr="00864F1A">
        <w:t xml:space="preserve"> recommendations </w:t>
      </w:r>
      <w:r>
        <w:t xml:space="preserve">and </w:t>
      </w:r>
      <w:r w:rsidRPr="00864F1A">
        <w:t>development</w:t>
      </w:r>
      <w:r>
        <w:t xml:space="preserve"> of</w:t>
      </w:r>
      <w:r w:rsidRPr="00864F1A">
        <w:t xml:space="preserve"> detailed scope for the technology demonstration programme, </w:t>
      </w:r>
      <w:r>
        <w:t>are under the development and will be finalised before the end of 2024.</w:t>
      </w:r>
    </w:p>
    <w:p w14:paraId="2F43C0AE" w14:textId="3D82AE4F" w:rsidR="002D4B37" w:rsidRPr="00725AB4" w:rsidRDefault="002D4B37" w:rsidP="002D4B37">
      <w:pPr>
        <w:widowControl w:val="0"/>
        <w:tabs>
          <w:tab w:val="left" w:pos="6984"/>
        </w:tabs>
        <w:autoSpaceDE w:val="0"/>
        <w:autoSpaceDN w:val="0"/>
        <w:adjustRightInd w:val="0"/>
        <w:rPr>
          <w:rFonts w:cstheme="minorHAnsi"/>
          <w:b/>
        </w:rPr>
      </w:pPr>
      <w:r w:rsidRPr="00725AB4">
        <w:rPr>
          <w:b/>
          <w:bCs/>
        </w:rPr>
        <w:t>Activity 4</w:t>
      </w:r>
      <w:r w:rsidR="00EF3F5E" w:rsidRPr="00725AB4">
        <w:rPr>
          <w:b/>
          <w:bCs/>
        </w:rPr>
        <w:t xml:space="preserve">: </w:t>
      </w:r>
      <w:r w:rsidR="00836803" w:rsidRPr="00836803">
        <w:rPr>
          <w:b/>
          <w:bCs/>
        </w:rPr>
        <w:t>Technical assistance to support good servicing practices in the refrigeration sector</w:t>
      </w:r>
    </w:p>
    <w:p w14:paraId="30D9DAA5" w14:textId="4FD1F5BA" w:rsidR="002D4B37" w:rsidRDefault="002D4B37" w:rsidP="006A046A">
      <w:pPr>
        <w:spacing w:after="160"/>
        <w:rPr>
          <w:rFonts w:eastAsia="SimSun"/>
          <w:color w:val="000000"/>
          <w:lang w:val="en-AU" w:eastAsia="zh-CN"/>
        </w:rPr>
      </w:pPr>
    </w:p>
    <w:p w14:paraId="5D5EE25A" w14:textId="39A5E45D" w:rsidR="00591C77" w:rsidRPr="006A046A" w:rsidRDefault="00591C77" w:rsidP="00591C77">
      <w:pPr>
        <w:spacing w:after="160"/>
        <w:rPr>
          <w:rFonts w:eastAsia="SimSun"/>
          <w:color w:val="000000"/>
          <w:lang w:val="en-AU" w:eastAsia="zh-CN"/>
        </w:rPr>
      </w:pPr>
      <w:r>
        <w:rPr>
          <w:rFonts w:eastAsia="SimSun"/>
          <w:color w:val="000000"/>
          <w:lang w:val="en-AU" w:eastAsia="zh-CN"/>
        </w:rPr>
        <w:t>Within the technical assistance activity 8 armoured tablets for Environmental inspectors and four identifiers for the customs officers had been purchased. P</w:t>
      </w:r>
      <w:r w:rsidRPr="006A046A">
        <w:rPr>
          <w:rFonts w:eastAsia="SimSun"/>
          <w:color w:val="000000"/>
          <w:lang w:val="en-AU" w:eastAsia="zh-CN"/>
        </w:rPr>
        <w:t>urchasing the leak detectors is in progress and will be purchased before the end of November</w:t>
      </w:r>
      <w:r w:rsidR="002A585B">
        <w:rPr>
          <w:rFonts w:eastAsia="SimSun"/>
          <w:color w:val="000000"/>
          <w:lang w:val="en-AU" w:eastAsia="zh-CN"/>
        </w:rPr>
        <w:t xml:space="preserve"> </w:t>
      </w:r>
      <w:r w:rsidRPr="006A046A">
        <w:rPr>
          <w:rFonts w:eastAsia="SimSun"/>
          <w:color w:val="000000"/>
          <w:lang w:val="en-AU" w:eastAsia="zh-CN"/>
        </w:rPr>
        <w:t>2024.</w:t>
      </w:r>
    </w:p>
    <w:p w14:paraId="1375368E" w14:textId="1C1E72C9" w:rsidR="00591C77" w:rsidRPr="006A046A" w:rsidRDefault="00591C77" w:rsidP="006A046A">
      <w:pPr>
        <w:spacing w:after="160"/>
        <w:rPr>
          <w:rFonts w:eastAsia="SimSun"/>
          <w:color w:val="000000"/>
          <w:lang w:val="en-AU" w:eastAsia="zh-CN"/>
        </w:rPr>
      </w:pPr>
    </w:p>
    <w:p w14:paraId="4AC66135" w14:textId="77777777" w:rsidR="002D4B37" w:rsidRDefault="002D4B37" w:rsidP="002D4B37">
      <w:pPr>
        <w:rPr>
          <w:color w:val="FF0000"/>
          <w:sz w:val="18"/>
          <w:szCs w:val="18"/>
          <w:lang w:val="en-US"/>
        </w:rPr>
      </w:pPr>
    </w:p>
    <w:p w14:paraId="6FBDEB7F" w14:textId="2C36911D" w:rsidR="00267F7E" w:rsidRPr="00E05AB1" w:rsidRDefault="0076515D" w:rsidP="00E05AB1">
      <w:pPr>
        <w:spacing w:after="160"/>
        <w:rPr>
          <w:rFonts w:eastAsia="SimSun"/>
          <w:color w:val="000000"/>
          <w:lang w:val="en-AU" w:eastAsia="zh-CN"/>
        </w:rPr>
      </w:pPr>
      <w:r w:rsidRPr="0076515D">
        <w:rPr>
          <w:rFonts w:eastAsia="SimSun"/>
          <w:b/>
          <w:bCs/>
          <w:color w:val="000000"/>
          <w:lang w:eastAsia="zh-CN"/>
        </w:rPr>
        <w:t>Monitoring and reporting.</w:t>
      </w:r>
      <w:r w:rsidRPr="0076515D" w:rsidDel="001F28E1">
        <w:rPr>
          <w:rFonts w:eastAsia="SimSun"/>
          <w:b/>
          <w:bCs/>
          <w:color w:val="000000"/>
          <w:lang w:val="en-AU" w:eastAsia="zh-CN"/>
        </w:rPr>
        <w:t xml:space="preserve"> </w:t>
      </w:r>
      <w:r w:rsidRPr="00FD4A65">
        <w:rPr>
          <w:rFonts w:eastAsia="SimSun"/>
          <w:color w:val="000000"/>
          <w:lang w:val="en-AU" w:eastAsia="zh-CN"/>
        </w:rPr>
        <w:t xml:space="preserve">Regular reports for the years </w:t>
      </w:r>
      <w:r w:rsidRPr="00FD4A65">
        <w:rPr>
          <w:rFonts w:eastAsia="SimSun"/>
          <w:color w:val="000000"/>
          <w:lang w:val="ka-GE" w:eastAsia="zh-CN"/>
        </w:rPr>
        <w:t>20</w:t>
      </w:r>
      <w:r w:rsidR="00AA50D3" w:rsidRPr="00FD4A65">
        <w:rPr>
          <w:rFonts w:eastAsia="SimSun"/>
          <w:color w:val="000000"/>
          <w:lang w:val="ka-GE" w:eastAsia="zh-CN"/>
        </w:rPr>
        <w:t>21</w:t>
      </w:r>
      <w:r w:rsidRPr="00FD4A65">
        <w:rPr>
          <w:rFonts w:eastAsia="SimSun"/>
          <w:color w:val="000000"/>
          <w:lang w:val="ka-GE" w:eastAsia="zh-CN"/>
        </w:rPr>
        <w:t xml:space="preserve"> </w:t>
      </w:r>
      <w:r w:rsidRPr="00FD4A65">
        <w:rPr>
          <w:rFonts w:eastAsia="SimSun"/>
          <w:color w:val="000000"/>
          <w:lang w:val="en-US" w:eastAsia="zh-CN"/>
        </w:rPr>
        <w:t>and 20</w:t>
      </w:r>
      <w:r w:rsidR="00AA50D3" w:rsidRPr="00FD4A65">
        <w:rPr>
          <w:rFonts w:eastAsia="SimSun"/>
          <w:color w:val="000000"/>
          <w:lang w:val="en-US" w:eastAsia="zh-CN"/>
        </w:rPr>
        <w:t>22</w:t>
      </w:r>
      <w:r w:rsidRPr="00FD4A65">
        <w:rPr>
          <w:rFonts w:eastAsia="SimSun"/>
          <w:color w:val="000000"/>
          <w:lang w:val="en-AU" w:eastAsia="zh-CN"/>
        </w:rPr>
        <w:t xml:space="preserve"> have been prepared by NOU and sent to the Ozone secretariat and Multilateral Fund secretariat of the Montreal Protocol, on the activities undertaken for the reduction of the ODS consumption and improvement of the legal and institutional framework</w:t>
      </w:r>
      <w:r w:rsidR="00FD4A65" w:rsidRPr="00FD4A65">
        <w:rPr>
          <w:rFonts w:eastAsia="SimSun"/>
          <w:color w:val="000000"/>
          <w:lang w:val="en-AU" w:eastAsia="zh-CN"/>
        </w:rPr>
        <w:t xml:space="preserve"> in 2022 and 2023 respectively</w:t>
      </w:r>
      <w:r w:rsidRPr="00FD4A65">
        <w:rPr>
          <w:rFonts w:eastAsia="SimSun"/>
          <w:color w:val="000000"/>
          <w:lang w:val="en-AU" w:eastAsia="zh-CN"/>
        </w:rPr>
        <w:t>. The report for 20</w:t>
      </w:r>
      <w:r w:rsidR="00AA50D3" w:rsidRPr="00FD4A65">
        <w:rPr>
          <w:rFonts w:eastAsia="SimSun"/>
          <w:color w:val="000000"/>
          <w:lang w:val="en-AU" w:eastAsia="zh-CN"/>
        </w:rPr>
        <w:t>23</w:t>
      </w:r>
      <w:r w:rsidRPr="00FD4A65">
        <w:rPr>
          <w:rFonts w:eastAsia="SimSun"/>
          <w:color w:val="000000"/>
          <w:lang w:val="en-AU" w:eastAsia="zh-CN"/>
        </w:rPr>
        <w:t xml:space="preserve"> is being prepared and will be submitted </w:t>
      </w:r>
      <w:r w:rsidR="00FD4A65" w:rsidRPr="00FD4A65">
        <w:rPr>
          <w:rFonts w:ascii="Sylfaen" w:eastAsia="SimSun" w:hAnsi="Sylfaen"/>
          <w:color w:val="000000"/>
          <w:lang w:val="en-US" w:eastAsia="zh-CN"/>
        </w:rPr>
        <w:t xml:space="preserve">by </w:t>
      </w:r>
      <w:r w:rsidR="00AA50D3" w:rsidRPr="00FD4A65">
        <w:rPr>
          <w:rFonts w:eastAsia="SimSun"/>
          <w:color w:val="000000"/>
          <w:lang w:val="en-AU" w:eastAsia="zh-CN"/>
        </w:rPr>
        <w:t>the end of September</w:t>
      </w:r>
      <w:r w:rsidR="00FD4A65" w:rsidRPr="00FD4A65">
        <w:rPr>
          <w:rFonts w:eastAsia="SimSun"/>
          <w:color w:val="000000"/>
          <w:lang w:val="en-AU" w:eastAsia="zh-CN"/>
        </w:rPr>
        <w:t xml:space="preserve"> 2024</w:t>
      </w:r>
      <w:r w:rsidR="002A585B">
        <w:rPr>
          <w:rFonts w:eastAsia="SimSun"/>
          <w:color w:val="000000"/>
          <w:lang w:val="en-AU" w:eastAsia="zh-CN"/>
        </w:rPr>
        <w:t>.</w:t>
      </w:r>
    </w:p>
    <w:p w14:paraId="4BB09CFF" w14:textId="4F5DA5E6" w:rsidR="00D42C41" w:rsidRPr="00664CC7" w:rsidRDefault="00D42C41" w:rsidP="00664CC7">
      <w:r w:rsidRPr="00664CC7">
        <w:t xml:space="preserve">Main </w:t>
      </w:r>
      <w:r w:rsidR="00E05AB1">
        <w:t xml:space="preserve">challenges </w:t>
      </w:r>
      <w:r w:rsidR="00E05AB1" w:rsidRPr="00664CC7">
        <w:t>encountered</w:t>
      </w:r>
      <w:r w:rsidRPr="00664CC7">
        <w:t xml:space="preserve"> and measures taken: - No </w:t>
      </w:r>
      <w:r w:rsidR="00766828">
        <w:t>challenges identified.</w:t>
      </w:r>
    </w:p>
    <w:p w14:paraId="33F8AFA8" w14:textId="16FDE2EA" w:rsidR="003B06BC" w:rsidRPr="00664CC7" w:rsidRDefault="003B06BC" w:rsidP="00664CC7">
      <w:pPr>
        <w:tabs>
          <w:tab w:val="left" w:pos="720"/>
          <w:tab w:val="right" w:pos="9360"/>
        </w:tabs>
        <w:rPr>
          <w:rFonts w:eastAsia="SimSun"/>
          <w:color w:val="000000"/>
          <w:lang w:val="en-CA" w:eastAsia="zh-CN"/>
        </w:rPr>
      </w:pPr>
    </w:p>
    <w:p w14:paraId="30DE5803" w14:textId="1B11E3D4" w:rsidR="007E5603" w:rsidRPr="00664CC7" w:rsidRDefault="009D6180" w:rsidP="00664CC7">
      <w:pPr>
        <w:keepNext/>
        <w:keepLines/>
        <w:widowControl w:val="0"/>
        <w:tabs>
          <w:tab w:val="left" w:pos="720"/>
          <w:tab w:val="right" w:pos="9360"/>
        </w:tabs>
        <w:spacing w:after="120"/>
        <w:rPr>
          <w:rFonts w:eastAsia="SimSun"/>
          <w:color w:val="000000"/>
          <w:u w:val="single"/>
          <w:lang w:val="en-CA" w:eastAsia="zh-CN"/>
        </w:rPr>
      </w:pPr>
      <w:r w:rsidRPr="00664CC7">
        <w:rPr>
          <w:rFonts w:eastAsia="SimSun"/>
          <w:color w:val="000000"/>
          <w:u w:val="single"/>
          <w:lang w:val="en-CA" w:eastAsia="zh-CN"/>
        </w:rPr>
        <w:t>I.4.</w:t>
      </w:r>
      <w:r w:rsidR="006D2CA4" w:rsidRPr="00664CC7">
        <w:rPr>
          <w:rFonts w:eastAsia="SimSun"/>
          <w:color w:val="000000"/>
          <w:u w:val="single"/>
          <w:lang w:val="en-CA" w:eastAsia="zh-CN"/>
        </w:rPr>
        <w:t>3</w:t>
      </w:r>
      <w:r w:rsidRPr="00664CC7">
        <w:rPr>
          <w:rFonts w:eastAsia="SimSun"/>
          <w:color w:val="000000"/>
          <w:u w:val="single"/>
          <w:lang w:val="en-CA" w:eastAsia="zh-CN"/>
        </w:rPr>
        <w:t>.</w:t>
      </w:r>
      <w:r w:rsidRPr="00664CC7">
        <w:rPr>
          <w:rFonts w:eastAsia="SimSun"/>
          <w:color w:val="000000"/>
          <w:u w:val="single"/>
          <w:lang w:val="en-CA" w:eastAsia="zh-CN"/>
        </w:rPr>
        <w:tab/>
      </w:r>
      <w:r w:rsidR="007E5603" w:rsidRPr="00664CC7">
        <w:rPr>
          <w:rFonts w:eastAsia="SimSun"/>
          <w:color w:val="000000"/>
          <w:u w:val="single"/>
          <w:lang w:val="en-CA" w:eastAsia="zh-CN"/>
        </w:rPr>
        <w:t>Other impacts on the environment including on the climate</w:t>
      </w:r>
      <w:r w:rsidR="001D17FC" w:rsidRPr="00664CC7">
        <w:rPr>
          <w:rFonts w:eastAsia="SimSun"/>
          <w:color w:val="000000"/>
          <w:lang w:val="en-CA" w:eastAsia="zh-CN"/>
        </w:rPr>
        <w:t xml:space="preserve"> </w:t>
      </w:r>
      <w:r w:rsidR="00D60DBC" w:rsidRPr="00664CC7">
        <w:rPr>
          <w:rFonts w:eastAsia="SimSun"/>
          <w:color w:val="000000"/>
          <w:lang w:val="en-CA" w:eastAsia="zh-CN"/>
        </w:rPr>
        <w:tab/>
      </w:r>
    </w:p>
    <w:p w14:paraId="19ED2FBB" w14:textId="4469CA65" w:rsidR="00DE4037" w:rsidRPr="00096447" w:rsidRDefault="00DE4037" w:rsidP="00664CC7">
      <w:pPr>
        <w:keepNext/>
        <w:keepLines/>
        <w:widowControl w:val="0"/>
        <w:spacing w:after="240"/>
        <w:rPr>
          <w:lang w:val="en-CA"/>
        </w:rPr>
      </w:pPr>
      <w:r w:rsidRPr="00664CC7">
        <w:rPr>
          <w:lang w:val="en-CA"/>
        </w:rPr>
        <w:t>The new</w:t>
      </w:r>
      <w:r w:rsidR="0076515D">
        <w:rPr>
          <w:lang w:val="en-CA"/>
        </w:rPr>
        <w:t xml:space="preserve"> </w:t>
      </w:r>
      <w:r w:rsidRPr="00664CC7">
        <w:rPr>
          <w:lang w:val="en-CA"/>
        </w:rPr>
        <w:t>regulation</w:t>
      </w:r>
      <w:r w:rsidR="0076515D">
        <w:rPr>
          <w:lang w:val="en-CA"/>
        </w:rPr>
        <w:t>s</w:t>
      </w:r>
      <w:r w:rsidRPr="00664CC7">
        <w:rPr>
          <w:lang w:val="en-CA"/>
        </w:rPr>
        <w:t xml:space="preserve"> will bring coherence in national effort among different government institutes to reduce its GHG emission. </w:t>
      </w:r>
      <w:r w:rsidR="008E124A" w:rsidRPr="00664CC7">
        <w:rPr>
          <w:lang w:val="en-CA"/>
        </w:rPr>
        <w:t xml:space="preserve">The enhanced regulatory and enforcement capabilities of the country to phase out HCFCs and </w:t>
      </w:r>
      <w:r w:rsidR="008E124A" w:rsidRPr="00096447">
        <w:rPr>
          <w:lang w:val="en-CA"/>
        </w:rPr>
        <w:t xml:space="preserve">better handle alternative refrigerants have a larger environmental impact beyond its territory. </w:t>
      </w:r>
    </w:p>
    <w:p w14:paraId="29A261BD" w14:textId="7EB920DA" w:rsidR="003916B2" w:rsidRPr="00096447" w:rsidRDefault="003916B2" w:rsidP="00664CC7">
      <w:pPr>
        <w:pStyle w:val="0Heading0"/>
        <w:rPr>
          <w:rFonts w:eastAsia="SimSun"/>
          <w:lang w:val="en-CA" w:eastAsia="zh-CN"/>
        </w:rPr>
      </w:pPr>
    </w:p>
    <w:p w14:paraId="012E9811" w14:textId="77777777" w:rsidR="003A3758" w:rsidRPr="00096447" w:rsidRDefault="006D2CA4" w:rsidP="00664CC7">
      <w:pPr>
        <w:keepNext/>
        <w:tabs>
          <w:tab w:val="left" w:pos="720"/>
          <w:tab w:val="right" w:pos="9360"/>
        </w:tabs>
        <w:spacing w:after="120"/>
        <w:rPr>
          <w:rFonts w:eastAsia="SimSun"/>
          <w:u w:val="single"/>
          <w:lang w:val="en-CA" w:eastAsia="zh-CN"/>
        </w:rPr>
      </w:pPr>
      <w:r w:rsidRPr="00096447">
        <w:rPr>
          <w:rFonts w:eastAsia="SimSun"/>
          <w:u w:val="single"/>
          <w:lang w:val="en-CA" w:eastAsia="zh-CN"/>
        </w:rPr>
        <w:t>I.4.4</w:t>
      </w:r>
      <w:r w:rsidRPr="00096447">
        <w:rPr>
          <w:rFonts w:eastAsia="SimSun"/>
          <w:u w:val="single"/>
          <w:lang w:val="en-CA" w:eastAsia="zh-CN"/>
        </w:rPr>
        <w:tab/>
        <w:t>Consideration of the Multilateral Fund gender policy in HPMP implementation</w:t>
      </w:r>
    </w:p>
    <w:p w14:paraId="24862299" w14:textId="48E9FEF4" w:rsidR="0001369C" w:rsidRDefault="00D65F07" w:rsidP="00D65F07">
      <w:pPr>
        <w:keepNext/>
        <w:tabs>
          <w:tab w:val="left" w:pos="720"/>
          <w:tab w:val="right" w:pos="9360"/>
        </w:tabs>
        <w:spacing w:after="120"/>
        <w:rPr>
          <w:rFonts w:eastAsia="SimSun"/>
          <w:color w:val="000000"/>
          <w:lang w:val="en-CA" w:eastAsia="zh-CN"/>
        </w:rPr>
      </w:pPr>
      <w:r w:rsidRPr="001E3C00">
        <w:rPr>
          <w:rFonts w:eastAsia="SimSun"/>
          <w:color w:val="000000"/>
          <w:lang w:val="en-CA" w:eastAsia="zh-CN"/>
        </w:rPr>
        <w:t>At its 84</w:t>
      </w:r>
      <w:r w:rsidRPr="001E3C00">
        <w:rPr>
          <w:rFonts w:eastAsia="SimSun"/>
          <w:color w:val="000000"/>
          <w:vertAlign w:val="superscript"/>
          <w:lang w:val="en-CA" w:eastAsia="zh-CN"/>
        </w:rPr>
        <w:t>th </w:t>
      </w:r>
      <w:r w:rsidRPr="001E3C00">
        <w:rPr>
          <w:rFonts w:eastAsia="SimSun"/>
          <w:color w:val="000000"/>
          <w:lang w:val="en-CA" w:eastAsia="zh-CN"/>
        </w:rPr>
        <w:t xml:space="preserve">meeting, the Executive Committee approved the operational policy on gender mainstreaming for Multilateral Fund-supported </w:t>
      </w:r>
      <w:proofErr w:type="gramStart"/>
      <w:r w:rsidRPr="001E3C00">
        <w:rPr>
          <w:rFonts w:eastAsia="SimSun"/>
          <w:color w:val="000000"/>
          <w:lang w:val="en-CA" w:eastAsia="zh-CN"/>
        </w:rPr>
        <w:t>projects, and</w:t>
      </w:r>
      <w:proofErr w:type="gramEnd"/>
      <w:r w:rsidRPr="001E3C00">
        <w:rPr>
          <w:rFonts w:eastAsia="SimSun"/>
          <w:color w:val="000000"/>
          <w:lang w:val="en-CA" w:eastAsia="zh-CN"/>
        </w:rPr>
        <w:t xml:space="preserve"> requested bilateral and implementing agencies to apply this policy throughout the project cycle, beginning with projects proposed for consideration at the 85</w:t>
      </w:r>
      <w:r w:rsidRPr="001E3C00">
        <w:rPr>
          <w:rFonts w:eastAsia="SimSun"/>
          <w:color w:val="000000"/>
          <w:vertAlign w:val="superscript"/>
          <w:lang w:val="en-CA" w:eastAsia="zh-CN"/>
        </w:rPr>
        <w:t>th</w:t>
      </w:r>
      <w:r w:rsidRPr="001E3C00">
        <w:rPr>
          <w:rFonts w:eastAsia="SimSun"/>
          <w:color w:val="000000"/>
          <w:lang w:val="en-CA" w:eastAsia="zh-CN"/>
        </w:rPr>
        <w:t xml:space="preserve"> meeting. </w:t>
      </w:r>
    </w:p>
    <w:p w14:paraId="3A4B10BE" w14:textId="77777777" w:rsidR="0001369C" w:rsidRDefault="0001369C" w:rsidP="0001369C">
      <w:pPr>
        <w:keepNext/>
        <w:tabs>
          <w:tab w:val="left" w:pos="720"/>
          <w:tab w:val="right" w:pos="9360"/>
        </w:tabs>
        <w:spacing w:after="120"/>
        <w:rPr>
          <w:rFonts w:eastAsia="SimSun"/>
          <w:color w:val="000000"/>
          <w:lang w:val="en-CA" w:eastAsia="zh-CN"/>
        </w:rPr>
      </w:pPr>
      <w:r>
        <w:rPr>
          <w:rFonts w:eastAsia="SimSun"/>
          <w:color w:val="000000"/>
          <w:lang w:val="en-CA" w:eastAsia="zh-CN"/>
        </w:rPr>
        <w:t>During implementation the activities within the 1</w:t>
      </w:r>
      <w:r w:rsidRPr="0001369C">
        <w:rPr>
          <w:rFonts w:eastAsia="SimSun"/>
          <w:color w:val="000000"/>
          <w:vertAlign w:val="superscript"/>
          <w:lang w:val="en-CA" w:eastAsia="zh-CN"/>
        </w:rPr>
        <w:t>st</w:t>
      </w:r>
      <w:r>
        <w:rPr>
          <w:rFonts w:eastAsia="SimSun"/>
          <w:color w:val="000000"/>
          <w:lang w:val="en-CA" w:eastAsia="zh-CN"/>
        </w:rPr>
        <w:t xml:space="preserve"> tranche </w:t>
      </w:r>
      <w:r w:rsidRPr="001E3C00">
        <w:rPr>
          <w:rFonts w:eastAsia="SimSun"/>
          <w:color w:val="000000"/>
          <w:lang w:val="en-CA" w:eastAsia="zh-CN"/>
        </w:rPr>
        <w:t xml:space="preserve">due attention has been given to identifying entry points </w:t>
      </w:r>
      <w:r w:rsidRPr="0001369C">
        <w:rPr>
          <w:rFonts w:eastAsia="SimSun"/>
          <w:color w:val="000000"/>
          <w:lang w:val="en-CA" w:eastAsia="zh-CN"/>
        </w:rPr>
        <w:t xml:space="preserve">to promote gender equality and women’s empowerment (GEWE) activities to be implemented as part of the HPMP. </w:t>
      </w:r>
    </w:p>
    <w:p w14:paraId="77896BB8" w14:textId="29865BC3" w:rsidR="0001369C" w:rsidRPr="009153AF" w:rsidRDefault="0001369C" w:rsidP="0001369C">
      <w:pPr>
        <w:keepNext/>
        <w:tabs>
          <w:tab w:val="left" w:pos="720"/>
          <w:tab w:val="right" w:pos="9360"/>
        </w:tabs>
        <w:spacing w:after="120"/>
        <w:rPr>
          <w:rFonts w:eastAsia="SimSun"/>
          <w:color w:val="000000"/>
          <w:highlight w:val="yellow"/>
          <w:lang w:val="en-CA" w:eastAsia="zh-CN"/>
        </w:rPr>
      </w:pPr>
      <w:r>
        <w:rPr>
          <w:rFonts w:eastAsia="SimSun"/>
          <w:color w:val="000000"/>
          <w:lang w:val="en-CA" w:eastAsia="zh-CN"/>
        </w:rPr>
        <w:t>Particularly, during each Environmental inspectors and customs officers</w:t>
      </w:r>
      <w:r w:rsidR="002A585B">
        <w:rPr>
          <w:rFonts w:eastAsia="SimSun"/>
          <w:color w:val="000000"/>
          <w:lang w:val="en-CA" w:eastAsia="zh-CN"/>
        </w:rPr>
        <w:t>’</w:t>
      </w:r>
      <w:r>
        <w:rPr>
          <w:rFonts w:eastAsia="SimSun"/>
          <w:color w:val="000000"/>
          <w:lang w:val="en-CA" w:eastAsia="zh-CN"/>
        </w:rPr>
        <w:t xml:space="preserve"> trainings, one session was dedicated</w:t>
      </w:r>
      <w:r w:rsidRPr="0001369C">
        <w:rPr>
          <w:rFonts w:eastAsia="SimSun"/>
          <w:color w:val="000000"/>
          <w:lang w:val="en-CA" w:eastAsia="zh-CN"/>
        </w:rPr>
        <w:t xml:space="preserve"> </w:t>
      </w:r>
      <w:r>
        <w:rPr>
          <w:rFonts w:eastAsia="SimSun"/>
          <w:color w:val="000000"/>
          <w:lang w:val="en-CA" w:eastAsia="zh-CN"/>
        </w:rPr>
        <w:t>to the gender aspects, conducted by the UNDP CO gender advisor. Also</w:t>
      </w:r>
      <w:r w:rsidR="002A585B">
        <w:rPr>
          <w:rFonts w:eastAsia="SimSun"/>
          <w:color w:val="000000"/>
          <w:lang w:val="en-CA" w:eastAsia="zh-CN"/>
        </w:rPr>
        <w:t>,</w:t>
      </w:r>
      <w:r>
        <w:rPr>
          <w:rFonts w:eastAsia="SimSun"/>
          <w:color w:val="000000"/>
          <w:lang w:val="en-CA" w:eastAsia="zh-CN"/>
        </w:rPr>
        <w:t xml:space="preserve"> within the IS </w:t>
      </w:r>
      <w:r w:rsidR="00E2084F">
        <w:rPr>
          <w:rFonts w:eastAsia="SimSun"/>
          <w:color w:val="000000"/>
          <w:lang w:val="en-CA" w:eastAsia="zh-CN"/>
        </w:rPr>
        <w:t xml:space="preserve">XII </w:t>
      </w:r>
      <w:r w:rsidR="00A62442">
        <w:rPr>
          <w:rFonts w:eastAsia="SimSun"/>
          <w:color w:val="000000"/>
          <w:lang w:val="en-CA" w:eastAsia="zh-CN"/>
        </w:rPr>
        <w:t xml:space="preserve">a study </w:t>
      </w:r>
      <w:r w:rsidR="00E2084F">
        <w:rPr>
          <w:rFonts w:eastAsia="SimSun"/>
          <w:color w:val="000000"/>
          <w:lang w:val="en-CA" w:eastAsia="zh-CN"/>
        </w:rPr>
        <w:t>was</w:t>
      </w:r>
      <w:r>
        <w:rPr>
          <w:rFonts w:eastAsia="SimSun"/>
          <w:color w:val="000000"/>
          <w:lang w:val="en-CA" w:eastAsia="zh-CN"/>
        </w:rPr>
        <w:t xml:space="preserve"> conducted on the gender mainstreaming possibilities for the </w:t>
      </w:r>
      <w:bookmarkStart w:id="17" w:name="_Hlk178163495"/>
      <w:r>
        <w:rPr>
          <w:rFonts w:eastAsia="SimSun"/>
          <w:color w:val="000000"/>
          <w:lang w:val="en-CA" w:eastAsia="zh-CN"/>
        </w:rPr>
        <w:t xml:space="preserve">IS XII and HPMP – II projects.  </w:t>
      </w:r>
    </w:p>
    <w:bookmarkEnd w:id="17"/>
    <w:p w14:paraId="64D1CB25" w14:textId="227AFDDE" w:rsidR="0020384A" w:rsidRDefault="00A62442" w:rsidP="0020384A">
      <w:pPr>
        <w:rPr>
          <w:rFonts w:eastAsia="SimSun"/>
          <w:lang w:val="en-CA" w:eastAsia="zh-CN"/>
        </w:rPr>
      </w:pPr>
      <w:r>
        <w:rPr>
          <w:rFonts w:eastAsia="SimSun"/>
          <w:lang w:val="en-CA" w:eastAsia="zh-CN"/>
        </w:rPr>
        <w:t>As a result, t</w:t>
      </w:r>
      <w:r w:rsidR="0020384A" w:rsidRPr="00E2084F">
        <w:rPr>
          <w:rFonts w:eastAsia="SimSun"/>
          <w:lang w:val="en-CA" w:eastAsia="zh-CN"/>
        </w:rPr>
        <w:t xml:space="preserve">he project </w:t>
      </w:r>
      <w:r>
        <w:rPr>
          <w:rFonts w:eastAsia="SimSun"/>
          <w:lang w:val="en-CA" w:eastAsia="zh-CN"/>
        </w:rPr>
        <w:t xml:space="preserve">now </w:t>
      </w:r>
      <w:r w:rsidR="0020384A" w:rsidRPr="00E2084F">
        <w:rPr>
          <w:rFonts w:eastAsia="SimSun"/>
          <w:lang w:val="en-CA" w:eastAsia="zh-CN"/>
        </w:rPr>
        <w:t xml:space="preserve">requires the collection of sex-disaggregated data and qualitative information to analyze and track gender issues, in the form of number of efforts undertaken to recruit women and encourage women to apply, number and percentage of male and female </w:t>
      </w:r>
      <w:r w:rsidR="00096447" w:rsidRPr="00E2084F">
        <w:rPr>
          <w:rFonts w:eastAsia="SimSun"/>
          <w:lang w:val="en-CA" w:eastAsia="zh-CN"/>
        </w:rPr>
        <w:t>participants</w:t>
      </w:r>
      <w:r w:rsidR="0020384A" w:rsidRPr="00E2084F">
        <w:rPr>
          <w:rFonts w:eastAsia="SimSun"/>
          <w:lang w:val="en-CA" w:eastAsia="zh-CN"/>
        </w:rPr>
        <w:t xml:space="preserve">, number and percentage of women present in training, and number and percentage of women and men that complete the training. </w:t>
      </w:r>
    </w:p>
    <w:p w14:paraId="64E2E6BD" w14:textId="77777777" w:rsidR="001C2908" w:rsidRDefault="001C2908" w:rsidP="0020384A">
      <w:pPr>
        <w:rPr>
          <w:rFonts w:eastAsia="SimSun"/>
          <w:lang w:val="en-CA" w:eastAsia="zh-CN"/>
        </w:rPr>
      </w:pPr>
    </w:p>
    <w:p w14:paraId="64D4D94E" w14:textId="59F12BB2" w:rsidR="001C55BB" w:rsidRPr="009153AF" w:rsidRDefault="001C55BB" w:rsidP="001C55BB">
      <w:pPr>
        <w:keepNext/>
        <w:tabs>
          <w:tab w:val="left" w:pos="720"/>
          <w:tab w:val="right" w:pos="9360"/>
        </w:tabs>
        <w:spacing w:after="120"/>
        <w:rPr>
          <w:rFonts w:eastAsia="SimSun"/>
          <w:color w:val="000000"/>
          <w:highlight w:val="yellow"/>
          <w:lang w:val="en-CA" w:eastAsia="zh-CN"/>
        </w:rPr>
      </w:pPr>
      <w:r>
        <w:rPr>
          <w:rFonts w:eastAsia="SimSun"/>
          <w:lang w:val="en-CA" w:eastAsia="zh-CN"/>
        </w:rPr>
        <w:t xml:space="preserve">Additionally, following to the </w:t>
      </w:r>
      <w:r w:rsidR="001C2908">
        <w:rPr>
          <w:rFonts w:eastAsia="SimSun"/>
          <w:lang w:val="en-CA" w:eastAsia="zh-CN"/>
        </w:rPr>
        <w:t xml:space="preserve">recommendations given in the </w:t>
      </w:r>
      <w:r>
        <w:rPr>
          <w:rFonts w:eastAsia="SimSun"/>
          <w:lang w:val="en-CA" w:eastAsia="zh-CN"/>
        </w:rPr>
        <w:t>above-mentioned study on the gender mainstreaming possibilities for the</w:t>
      </w:r>
      <w:r w:rsidRPr="001C55BB">
        <w:rPr>
          <w:rFonts w:eastAsia="SimSun"/>
          <w:color w:val="000000"/>
          <w:lang w:val="en-CA" w:eastAsia="zh-CN"/>
        </w:rPr>
        <w:t xml:space="preserve"> </w:t>
      </w:r>
      <w:r>
        <w:rPr>
          <w:rFonts w:eastAsia="SimSun"/>
          <w:color w:val="000000"/>
          <w:lang w:val="en-CA" w:eastAsia="zh-CN"/>
        </w:rPr>
        <w:t xml:space="preserve">IS XII and HPMP – II projects, during the preparation process for any event or workshop, we always request stakeholders, while provide the nominees, consider the gender balance. </w:t>
      </w:r>
      <w:r w:rsidR="00FE1970">
        <w:rPr>
          <w:rFonts w:eastAsia="SimSun"/>
          <w:color w:val="000000"/>
          <w:lang w:val="en-CA" w:eastAsia="zh-CN"/>
        </w:rPr>
        <w:t>And to</w:t>
      </w:r>
      <w:r>
        <w:rPr>
          <w:rFonts w:eastAsia="SimSun"/>
          <w:color w:val="000000"/>
          <w:lang w:val="en-CA" w:eastAsia="zh-CN"/>
        </w:rPr>
        <w:t xml:space="preserve"> encourage women’s </w:t>
      </w:r>
      <w:proofErr w:type="gramStart"/>
      <w:r>
        <w:rPr>
          <w:rFonts w:eastAsia="SimSun"/>
          <w:color w:val="000000"/>
          <w:lang w:val="en-CA" w:eastAsia="zh-CN"/>
        </w:rPr>
        <w:t>participation  try</w:t>
      </w:r>
      <w:proofErr w:type="gramEnd"/>
      <w:r>
        <w:rPr>
          <w:rFonts w:eastAsia="SimSun"/>
          <w:color w:val="000000"/>
          <w:lang w:val="en-CA" w:eastAsia="zh-CN"/>
        </w:rPr>
        <w:t xml:space="preserve"> to select space, where children care service can be provided in case of needs.</w:t>
      </w:r>
    </w:p>
    <w:p w14:paraId="7F846033" w14:textId="54A16F22" w:rsidR="001C2908" w:rsidRDefault="001C2908" w:rsidP="0020384A">
      <w:pPr>
        <w:rPr>
          <w:rFonts w:eastAsia="SimSun"/>
          <w:lang w:val="en-CA" w:eastAsia="zh-CN"/>
        </w:rPr>
      </w:pPr>
    </w:p>
    <w:p w14:paraId="275BB7BB" w14:textId="77777777" w:rsidR="001C2908" w:rsidRPr="00E2084F" w:rsidRDefault="001C2908" w:rsidP="0020384A">
      <w:pPr>
        <w:rPr>
          <w:rFonts w:eastAsia="SimSun"/>
          <w:lang w:val="en-CA" w:eastAsia="zh-CN"/>
        </w:rPr>
      </w:pPr>
    </w:p>
    <w:p w14:paraId="470CBC31" w14:textId="77777777" w:rsidR="0020384A" w:rsidRPr="00E2084F" w:rsidRDefault="0020384A" w:rsidP="0020384A">
      <w:pPr>
        <w:pStyle w:val="0Heading0"/>
        <w:rPr>
          <w:rFonts w:eastAsia="SimSun"/>
          <w:lang w:val="en-CA" w:eastAsia="zh-CN"/>
        </w:rPr>
      </w:pPr>
    </w:p>
    <w:p w14:paraId="755663D5" w14:textId="142F9FB0" w:rsidR="006D2CA4" w:rsidRPr="00E2084F" w:rsidRDefault="006D2CA4" w:rsidP="00E2084F">
      <w:pPr>
        <w:rPr>
          <w:rFonts w:eastAsia="SimSun"/>
          <w:color w:val="FF0000"/>
          <w:lang w:val="en-CA" w:eastAsia="zh-CN"/>
        </w:rPr>
      </w:pPr>
    </w:p>
    <w:p w14:paraId="558C5425" w14:textId="4935F983" w:rsidR="000F13B5" w:rsidRPr="00731799" w:rsidRDefault="000F13B5" w:rsidP="00664CC7">
      <w:pPr>
        <w:keepNext/>
        <w:tabs>
          <w:tab w:val="left" w:pos="720"/>
          <w:tab w:val="right" w:pos="9360"/>
        </w:tabs>
        <w:spacing w:after="120"/>
        <w:rPr>
          <w:rFonts w:eastAsia="SimSun"/>
          <w:color w:val="000000"/>
          <w:u w:val="single"/>
          <w:lang w:val="en-CA" w:eastAsia="zh-CN"/>
        </w:rPr>
      </w:pPr>
      <w:r w:rsidRPr="004D69B2">
        <w:rPr>
          <w:rFonts w:eastAsia="SimSun"/>
          <w:u w:val="single"/>
          <w:lang w:val="en-CA" w:eastAsia="zh-CN"/>
        </w:rPr>
        <w:t>I.4</w:t>
      </w:r>
      <w:r w:rsidR="002D5132" w:rsidRPr="004D69B2">
        <w:rPr>
          <w:rFonts w:eastAsia="SimSun"/>
          <w:u w:val="single"/>
          <w:lang w:val="en-CA" w:eastAsia="zh-CN"/>
        </w:rPr>
        <w:t>.</w:t>
      </w:r>
      <w:r w:rsidR="0094331E" w:rsidRPr="004D69B2">
        <w:rPr>
          <w:rFonts w:eastAsia="SimSun"/>
          <w:u w:val="single"/>
          <w:lang w:val="en-CA" w:eastAsia="zh-CN"/>
        </w:rPr>
        <w:t>5</w:t>
      </w:r>
      <w:r w:rsidRPr="004D69B2">
        <w:rPr>
          <w:rFonts w:eastAsia="SimSun"/>
          <w:u w:val="single"/>
          <w:lang w:val="en-CA" w:eastAsia="zh-CN"/>
        </w:rPr>
        <w:tab/>
        <w:t>Co-financing</w:t>
      </w:r>
      <w:r w:rsidRPr="00731799">
        <w:rPr>
          <w:rFonts w:eastAsia="SimSun"/>
          <w:color w:val="000000"/>
          <w:u w:val="single"/>
          <w:lang w:val="en-CA" w:eastAsia="zh-CN"/>
        </w:rPr>
        <w:tab/>
      </w:r>
    </w:p>
    <w:p w14:paraId="1E6110BB" w14:textId="0CCB8C67" w:rsidR="0076515D" w:rsidRPr="00664CC7" w:rsidRDefault="0076515D" w:rsidP="00664CC7">
      <w:pPr>
        <w:spacing w:after="240"/>
        <w:rPr>
          <w:rFonts w:eastAsia="SimSun"/>
          <w:color w:val="000000"/>
          <w:lang w:val="en-CA" w:eastAsia="zh-CN"/>
        </w:rPr>
      </w:pPr>
      <w:r w:rsidRPr="00636319">
        <w:rPr>
          <w:rFonts w:eastAsia="SimSun"/>
          <w:color w:val="000000"/>
          <w:lang w:val="en-US" w:eastAsia="zh-CN"/>
        </w:rPr>
        <w:t>N/A</w:t>
      </w:r>
      <w:r>
        <w:rPr>
          <w:rFonts w:eastAsia="SimSun"/>
          <w:color w:val="000000"/>
          <w:lang w:val="en-US" w:eastAsia="zh-CN"/>
        </w:rPr>
        <w:t xml:space="preserve"> at this moment.</w:t>
      </w:r>
    </w:p>
    <w:p w14:paraId="05592C0A" w14:textId="17AFAABE" w:rsidR="002D5132" w:rsidRPr="00664CC7" w:rsidRDefault="00135EFD" w:rsidP="00664CC7">
      <w:pPr>
        <w:keepNext/>
        <w:keepLines/>
        <w:tabs>
          <w:tab w:val="left" w:pos="720"/>
          <w:tab w:val="right" w:pos="9360"/>
        </w:tabs>
        <w:spacing w:after="120"/>
        <w:rPr>
          <w:color w:val="000000"/>
          <w:lang w:val="en-CA"/>
        </w:rPr>
      </w:pPr>
      <w:r w:rsidRPr="004D69B2">
        <w:rPr>
          <w:lang w:val="en-CA"/>
        </w:rPr>
        <w:t>I.4.</w:t>
      </w:r>
      <w:r w:rsidR="0094331E" w:rsidRPr="004D69B2">
        <w:rPr>
          <w:lang w:val="en-CA"/>
        </w:rPr>
        <w:t>6</w:t>
      </w:r>
      <w:r w:rsidRPr="004D69B2">
        <w:rPr>
          <w:lang w:val="en-CA"/>
        </w:rPr>
        <w:tab/>
      </w:r>
      <w:r w:rsidRPr="004D69B2">
        <w:rPr>
          <w:u w:val="single"/>
          <w:lang w:val="en-CA"/>
        </w:rPr>
        <w:t>P</w:t>
      </w:r>
      <w:r w:rsidR="00996148" w:rsidRPr="004D69B2">
        <w:rPr>
          <w:u w:val="single"/>
          <w:lang w:val="en-CA"/>
        </w:rPr>
        <w:t>roject management unit</w:t>
      </w:r>
      <w:r w:rsidR="00E82D2A" w:rsidRPr="004D69B2">
        <w:rPr>
          <w:lang w:val="en-CA"/>
        </w:rPr>
        <w:t xml:space="preserve"> (PMU)</w:t>
      </w:r>
      <w:r w:rsidR="002D5132" w:rsidRPr="00664CC7">
        <w:rPr>
          <w:rFonts w:eastAsia="SimSun"/>
          <w:color w:val="000000"/>
          <w:lang w:val="en-CA" w:eastAsia="zh-CN"/>
        </w:rPr>
        <w:tab/>
      </w:r>
    </w:p>
    <w:p w14:paraId="7DFABEAC" w14:textId="77777777" w:rsidR="0076515D" w:rsidRPr="0076515D" w:rsidRDefault="0076515D" w:rsidP="0076515D">
      <w:pPr>
        <w:spacing w:before="160"/>
        <w:rPr>
          <w:lang w:val="en-AU"/>
        </w:rPr>
      </w:pPr>
      <w:r w:rsidRPr="0076515D">
        <w:rPr>
          <w:iCs/>
          <w:lang w:val="en-AU"/>
        </w:rPr>
        <w:t>The HPMP in</w:t>
      </w:r>
      <w:r w:rsidRPr="0076515D">
        <w:rPr>
          <w:lang w:val="en-AU"/>
        </w:rPr>
        <w:t xml:space="preserve"> Georgia is implemented by the re-organized Ministry of Environmental Protection and Agriculture (MEPA). On the daily basis</w:t>
      </w:r>
      <w:r w:rsidRPr="0076515D">
        <w:rPr>
          <w:rFonts w:asciiTheme="minorHAnsi" w:hAnsiTheme="minorHAnsi"/>
          <w:lang w:val="ka-GE"/>
        </w:rPr>
        <w:t>,</w:t>
      </w:r>
      <w:r w:rsidRPr="0076515D">
        <w:rPr>
          <w:lang w:val="en-AU"/>
        </w:rPr>
        <w:t xml:space="preserve"> the project is supported through a project implementation team composed of individual service contractors under the National Implementation Modality (NIM) under the Montreal Protocol Enabling Activities (Programme) supported by UNDP Country Office in Georgia.  The EA programme of UNDP consists of the Montreal Protocol related projects: Institutional Strengthening (IS) and HPMP Stage I. A part-time programme manager has been designated to support implementation progress and meeting specific project’s milestones. The </w:t>
      </w:r>
      <w:r w:rsidRPr="0076515D">
        <w:rPr>
          <w:lang w:val="en-AU"/>
        </w:rPr>
        <w:lastRenderedPageBreak/>
        <w:t xml:space="preserve">Manager is supported by an HPMP project assistant contracted on a part-time basis, and national consultants to enable smooth and uninterrupted implementation of the project. </w:t>
      </w:r>
    </w:p>
    <w:p w14:paraId="1771C306" w14:textId="77777777" w:rsidR="0076515D" w:rsidRPr="0076515D" w:rsidRDefault="0076515D" w:rsidP="0076515D">
      <w:pPr>
        <w:spacing w:before="160"/>
        <w:rPr>
          <w:lang w:val="en-AU"/>
        </w:rPr>
      </w:pPr>
      <w:r w:rsidRPr="0076515D">
        <w:rPr>
          <w:lang w:val="en-AU"/>
        </w:rPr>
        <w:t xml:space="preserve">The MEPA, as a national implementing partner for the project, had designated a National Project Director (NPD) who provides political support to the program and serves as a focal point for project-related matters from the Government’s side. The NPD is a liaison person among various stakeholders and is responsible for monitoring of the general progress towards expected project’s results. An Executive Board, established by the project, is composed of various stakeholder representatives: NPD, NOU, MEPA, UNDP, </w:t>
      </w:r>
      <w:r w:rsidRPr="0076515D">
        <w:rPr>
          <w:rFonts w:ascii="Sylfaen" w:hAnsi="Sylfaen"/>
          <w:lang w:val="en-US"/>
        </w:rPr>
        <w:t xml:space="preserve">and </w:t>
      </w:r>
      <w:r w:rsidRPr="0076515D">
        <w:rPr>
          <w:lang w:val="en-AU"/>
        </w:rPr>
        <w:t xml:space="preserve">the programme’s manager. It is the project’s directing board with general oversight, strategic guidance and key decision-making power. </w:t>
      </w:r>
    </w:p>
    <w:p w14:paraId="02537E72" w14:textId="77777777" w:rsidR="0076515D" w:rsidRPr="0076515D" w:rsidRDefault="0076515D" w:rsidP="0076515D">
      <w:pPr>
        <w:spacing w:before="160"/>
        <w:rPr>
          <w:lang w:val="en-AU"/>
        </w:rPr>
      </w:pPr>
      <w:r w:rsidRPr="0076515D">
        <w:rPr>
          <w:lang w:val="en-AU"/>
        </w:rPr>
        <w:t>During the reporting period, the National Ozone Officer, together with national counterparts, has actively participated in the HPMP-I implementation process.</w:t>
      </w:r>
    </w:p>
    <w:p w14:paraId="34C4FF0C" w14:textId="77777777" w:rsidR="00D51C6A" w:rsidRPr="0076515D" w:rsidRDefault="00D51C6A" w:rsidP="00D51C6A">
      <w:pPr>
        <w:rPr>
          <w:rFonts w:cs="TimesNewRomanPSMT"/>
          <w:lang w:val="en-AU"/>
        </w:rPr>
      </w:pPr>
    </w:p>
    <w:p w14:paraId="2A2C38B6" w14:textId="53672BF6" w:rsidR="0054552E" w:rsidRPr="007E39E0" w:rsidRDefault="0054552E" w:rsidP="00664CC7">
      <w:pPr>
        <w:tabs>
          <w:tab w:val="left" w:pos="720"/>
          <w:tab w:val="right" w:pos="9360"/>
        </w:tabs>
        <w:rPr>
          <w:color w:val="000000" w:themeColor="text1"/>
          <w:lang w:val="en-CA"/>
        </w:rPr>
      </w:pPr>
    </w:p>
    <w:p w14:paraId="578FCAB7" w14:textId="50C58155" w:rsidR="00084484" w:rsidRPr="003E5656" w:rsidRDefault="008C3389" w:rsidP="003E5656">
      <w:pPr>
        <w:tabs>
          <w:tab w:val="left" w:pos="720"/>
          <w:tab w:val="right" w:pos="9360"/>
        </w:tabs>
        <w:spacing w:after="120"/>
        <w:rPr>
          <w:color w:val="000000" w:themeColor="text1"/>
          <w:lang w:val="en-CA"/>
        </w:rPr>
      </w:pPr>
      <w:r w:rsidRPr="007E39E0">
        <w:rPr>
          <w:color w:val="000000" w:themeColor="text1"/>
          <w:lang w:val="en-CA"/>
        </w:rPr>
        <w:t>I.4.</w:t>
      </w:r>
      <w:r w:rsidR="0094331E" w:rsidRPr="007E39E0">
        <w:rPr>
          <w:color w:val="000000" w:themeColor="text1"/>
          <w:lang w:val="en-CA"/>
        </w:rPr>
        <w:t>7</w:t>
      </w:r>
      <w:r w:rsidRPr="007E39E0">
        <w:rPr>
          <w:color w:val="000000" w:themeColor="text1"/>
          <w:lang w:val="en-CA"/>
        </w:rPr>
        <w:tab/>
      </w:r>
      <w:r w:rsidRPr="007E39E0">
        <w:rPr>
          <w:color w:val="000000" w:themeColor="text1"/>
          <w:u w:val="single"/>
          <w:lang w:val="en-CA"/>
        </w:rPr>
        <w:t>Other information</w:t>
      </w:r>
      <w:r w:rsidRPr="007E39E0">
        <w:rPr>
          <w:rFonts w:eastAsia="SimSun"/>
          <w:color w:val="000000" w:themeColor="text1"/>
          <w:lang w:val="en-CA" w:eastAsia="zh-CN"/>
        </w:rPr>
        <w:tab/>
      </w:r>
    </w:p>
    <w:p w14:paraId="231582DD" w14:textId="4693FFC5" w:rsidR="00084484" w:rsidRPr="00084484" w:rsidRDefault="00084484" w:rsidP="00084484">
      <w:pPr>
        <w:tabs>
          <w:tab w:val="left" w:pos="720"/>
          <w:tab w:val="right" w:pos="9360"/>
        </w:tabs>
        <w:spacing w:before="160"/>
        <w:rPr>
          <w:lang w:val="en-US"/>
        </w:rPr>
      </w:pPr>
      <w:r w:rsidRPr="00084484">
        <w:rPr>
          <w:lang w:val="en-AU"/>
        </w:rPr>
        <w:t xml:space="preserve">The project </w:t>
      </w:r>
      <w:r w:rsidR="003E5656" w:rsidRPr="00084484">
        <w:rPr>
          <w:lang w:val="en-AU"/>
        </w:rPr>
        <w:t>c</w:t>
      </w:r>
      <w:r w:rsidR="003E5656">
        <w:rPr>
          <w:lang w:val="en-AU"/>
        </w:rPr>
        <w:t xml:space="preserve">ooperates </w:t>
      </w:r>
      <w:r w:rsidRPr="00084484">
        <w:rPr>
          <w:lang w:val="en-AU"/>
        </w:rPr>
        <w:t>with the UNDP project “</w:t>
      </w:r>
      <w:r w:rsidRPr="00084484">
        <w:rPr>
          <w:i/>
          <w:lang w:val="en-AU"/>
        </w:rPr>
        <w:t xml:space="preserve">European Union for Climate in Eastern Partner Countries” (EU4Climate) </w:t>
      </w:r>
      <w:r w:rsidRPr="00084484">
        <w:rPr>
          <w:lang w:val="en-AU"/>
        </w:rPr>
        <w:t>to coordinate on the elaboration of legislation for regulation of F-Gases in line with the Regulation (EU) No 517/2014 of the European Parliament and of the Council of 16 April 2014. Alignment of certification requirements with that of the act is also envisaged in coordination with the IS project. To ensure efficient use of resources the project complement</w:t>
      </w:r>
      <w:r w:rsidRPr="00084484">
        <w:rPr>
          <w:lang w:val="en-US"/>
        </w:rPr>
        <w:t>s</w:t>
      </w:r>
      <w:r w:rsidRPr="00084484">
        <w:rPr>
          <w:lang w:val="en-AU"/>
        </w:rPr>
        <w:t xml:space="preserve"> the legal drafting processes within the EU4Climate project by reviewing and commenting on the provisions related to certification of the refrigeration and air conditioning (RAC) technicians as agreed at one of PEB meetings. At present legal expert have been recruited to assist with review of a corresponding legal act that is being prepared under the EU4Climate project. </w:t>
      </w:r>
    </w:p>
    <w:p w14:paraId="0B4A19A0" w14:textId="77777777" w:rsidR="00084484" w:rsidRPr="00084484" w:rsidRDefault="00084484" w:rsidP="00084484">
      <w:pPr>
        <w:tabs>
          <w:tab w:val="left" w:pos="720"/>
          <w:tab w:val="right" w:pos="9360"/>
        </w:tabs>
        <w:spacing w:before="160"/>
        <w:rPr>
          <w:lang w:val="en-US"/>
        </w:rPr>
      </w:pPr>
      <w:r w:rsidRPr="00084484">
        <w:rPr>
          <w:lang w:val="en-US"/>
        </w:rPr>
        <w:t>The project has been cooperating with appropriate stakeholders through the PEB. All concerned agencies are represented in the PEB and are provided with the accurate information on the project related progress.  In addition, the project has had consultations with relevant projects such as the “</w:t>
      </w:r>
      <w:r w:rsidRPr="00084484">
        <w:rPr>
          <w:i/>
          <w:lang w:val="en-US"/>
        </w:rPr>
        <w:t>EU4Climate”</w:t>
      </w:r>
      <w:r w:rsidRPr="00084484">
        <w:rPr>
          <w:lang w:val="en-US"/>
        </w:rPr>
        <w:t xml:space="preserve"> implemented by EU/UNDP, “</w:t>
      </w:r>
      <w:r w:rsidRPr="00084484">
        <w:rPr>
          <w:i/>
          <w:lang w:val="en-US"/>
        </w:rPr>
        <w:t>Support in Ratification of the Kigali Amendment”</w:t>
      </w:r>
      <w:r w:rsidRPr="00084484">
        <w:rPr>
          <w:lang w:val="en-US"/>
        </w:rPr>
        <w:t xml:space="preserve"> implemented by the Regional Environmental Center in Caucasus, and “</w:t>
      </w:r>
      <w:r w:rsidRPr="00084484">
        <w:rPr>
          <w:i/>
          <w:lang w:val="en-US"/>
        </w:rPr>
        <w:t>Support in Introduction of Extended Producer Responsibility (EPR) Principles”</w:t>
      </w:r>
      <w:r w:rsidRPr="00084484">
        <w:rPr>
          <w:lang w:val="en-US"/>
        </w:rPr>
        <w:t xml:space="preserve"> implemented by NGO “GEO” through participating in workshops and bilateral meetings. The established working relations enable coordinated efforts to contribute to the improved environment for meeting obligations under the Montreal Protocol.  </w:t>
      </w:r>
    </w:p>
    <w:p w14:paraId="3BAC7EA5" w14:textId="77777777" w:rsidR="003E5656" w:rsidRDefault="003E5656" w:rsidP="00664CC7">
      <w:pPr>
        <w:rPr>
          <w:rFonts w:eastAsia="SimSun"/>
          <w:i/>
          <w:lang w:val="en-US" w:eastAsia="zh-CN"/>
        </w:rPr>
      </w:pPr>
    </w:p>
    <w:p w14:paraId="01B31109" w14:textId="4DD5AD86" w:rsidR="000B08AE" w:rsidRPr="00E2393F" w:rsidRDefault="002A585B" w:rsidP="00664CC7">
      <w:pPr>
        <w:rPr>
          <w:rFonts w:eastAsia="SimSun"/>
          <w:iCs/>
          <w:lang w:eastAsia="zh-CN"/>
        </w:rPr>
      </w:pPr>
      <w:r w:rsidRPr="008E6C50">
        <w:rPr>
          <w:rFonts w:eastAsia="SimSun"/>
          <w:iCs/>
          <w:lang w:val="en-US" w:eastAsia="zh-CN"/>
        </w:rPr>
        <w:t xml:space="preserve">Inception workshop </w:t>
      </w:r>
      <w:r w:rsidR="003E5656" w:rsidRPr="008E6C50">
        <w:rPr>
          <w:rFonts w:eastAsia="SimSun"/>
          <w:iCs/>
          <w:lang w:val="en-US" w:eastAsia="zh-CN"/>
        </w:rPr>
        <w:t xml:space="preserve"> </w:t>
      </w:r>
      <w:r>
        <w:rPr>
          <w:rFonts w:eastAsia="SimSun"/>
          <w:iCs/>
          <w:lang w:val="en-US" w:eastAsia="zh-CN"/>
        </w:rPr>
        <w:t>o</w:t>
      </w:r>
      <w:r w:rsidR="003E5656">
        <w:rPr>
          <w:rFonts w:eastAsia="SimSun"/>
          <w:iCs/>
          <w:lang w:val="en-US" w:eastAsia="zh-CN"/>
        </w:rPr>
        <w:t>n Novemb</w:t>
      </w:r>
      <w:r w:rsidR="00E2393F">
        <w:rPr>
          <w:rFonts w:eastAsia="SimSun"/>
          <w:iCs/>
          <w:lang w:val="en-US" w:eastAsia="zh-CN"/>
        </w:rPr>
        <w:t>er</w:t>
      </w:r>
      <w:r w:rsidR="003E5656">
        <w:rPr>
          <w:rFonts w:eastAsia="SimSun"/>
          <w:iCs/>
          <w:lang w:val="en-US" w:eastAsia="zh-CN"/>
        </w:rPr>
        <w:t xml:space="preserve"> 18</w:t>
      </w:r>
      <w:proofErr w:type="gramStart"/>
      <w:r w:rsidR="003E5656">
        <w:rPr>
          <w:rFonts w:eastAsia="SimSun"/>
          <w:iCs/>
          <w:lang w:val="en-US" w:eastAsia="zh-CN"/>
        </w:rPr>
        <w:t xml:space="preserve"> 2022</w:t>
      </w:r>
      <w:proofErr w:type="gramEnd"/>
      <w:r w:rsidR="003E5656">
        <w:rPr>
          <w:rFonts w:eastAsia="SimSun"/>
          <w:iCs/>
          <w:lang w:val="en-US" w:eastAsia="zh-CN"/>
        </w:rPr>
        <w:t xml:space="preserve"> , followed by 1</w:t>
      </w:r>
      <w:r w:rsidR="003E5656" w:rsidRPr="003E5656">
        <w:rPr>
          <w:rFonts w:eastAsia="SimSun"/>
          <w:iCs/>
          <w:vertAlign w:val="superscript"/>
          <w:lang w:val="en-US" w:eastAsia="zh-CN"/>
        </w:rPr>
        <w:t>st</w:t>
      </w:r>
      <w:r w:rsidR="003E5656">
        <w:rPr>
          <w:rFonts w:eastAsia="SimSun"/>
          <w:iCs/>
          <w:lang w:val="en-US" w:eastAsia="zh-CN"/>
        </w:rPr>
        <w:t xml:space="preserve"> PEB of the HPMP </w:t>
      </w:r>
      <w:r w:rsidR="00E2393F">
        <w:rPr>
          <w:rFonts w:eastAsia="SimSun"/>
          <w:iCs/>
          <w:lang w:val="en-US" w:eastAsia="zh-CN"/>
        </w:rPr>
        <w:t>–</w:t>
      </w:r>
      <w:r w:rsidR="003E5656">
        <w:rPr>
          <w:rFonts w:eastAsia="SimSun"/>
          <w:iCs/>
          <w:lang w:val="en-US" w:eastAsia="zh-CN"/>
        </w:rPr>
        <w:t xml:space="preserve"> II</w:t>
      </w:r>
      <w:r w:rsidR="00E2393F">
        <w:rPr>
          <w:rFonts w:eastAsia="SimSun"/>
          <w:iCs/>
          <w:lang w:val="en-US" w:eastAsia="zh-CN"/>
        </w:rPr>
        <w:t xml:space="preserve"> project had been conducted. </w:t>
      </w:r>
      <w:r>
        <w:rPr>
          <w:rFonts w:eastAsia="SimSun"/>
          <w:iCs/>
          <w:lang w:val="en-US" w:eastAsia="zh-CN"/>
        </w:rPr>
        <w:t>At</w:t>
      </w:r>
      <w:r w:rsidR="00E2393F">
        <w:rPr>
          <w:rFonts w:eastAsia="SimSun"/>
          <w:iCs/>
          <w:lang w:val="en-US" w:eastAsia="zh-CN"/>
        </w:rPr>
        <w:t xml:space="preserve"> the meeting, board members approved </w:t>
      </w:r>
      <w:proofErr w:type="spellStart"/>
      <w:r w:rsidR="00E2393F">
        <w:rPr>
          <w:rFonts w:eastAsia="SimSun"/>
          <w:iCs/>
          <w:lang w:val="en-US" w:eastAsia="zh-CN"/>
        </w:rPr>
        <w:t>ToR</w:t>
      </w:r>
      <w:proofErr w:type="spellEnd"/>
      <w:r w:rsidR="00E2393F">
        <w:rPr>
          <w:rFonts w:eastAsia="SimSun"/>
          <w:iCs/>
          <w:lang w:val="en-US" w:eastAsia="zh-CN"/>
        </w:rPr>
        <w:t xml:space="preserve"> for project board, approved project annual work plan and budget and discussed challenges/risks for the project implementation.</w:t>
      </w:r>
    </w:p>
    <w:p w14:paraId="3F5FB458" w14:textId="77777777" w:rsidR="00E2393F" w:rsidRDefault="00E2393F" w:rsidP="00E2393F">
      <w:pPr>
        <w:rPr>
          <w:rFonts w:ascii="Calibri" w:hAnsi="Calibri" w:cs="Calibri"/>
        </w:rPr>
      </w:pPr>
    </w:p>
    <w:p w14:paraId="4199D877" w14:textId="77777777" w:rsidR="00E2393F" w:rsidRPr="00E2393F" w:rsidRDefault="00E2393F" w:rsidP="00664CC7">
      <w:pPr>
        <w:rPr>
          <w:rFonts w:eastAsia="SimSun"/>
          <w:iCs/>
          <w:lang w:eastAsia="zh-CN"/>
        </w:rPr>
      </w:pPr>
    </w:p>
    <w:p w14:paraId="3F004AE5" w14:textId="77777777" w:rsidR="003E5656" w:rsidRPr="00084484" w:rsidRDefault="003E5656" w:rsidP="00664CC7">
      <w:pPr>
        <w:rPr>
          <w:rFonts w:eastAsia="SimSun"/>
          <w:i/>
          <w:lang w:val="en-US" w:eastAsia="zh-CN"/>
        </w:rPr>
      </w:pPr>
    </w:p>
    <w:p w14:paraId="74FD0A83" w14:textId="4DDA2FC5" w:rsidR="00166456" w:rsidRPr="00664CC7" w:rsidRDefault="00BD7A3B" w:rsidP="00664CC7">
      <w:pPr>
        <w:tabs>
          <w:tab w:val="left" w:pos="720"/>
          <w:tab w:val="right" w:pos="9360"/>
        </w:tabs>
        <w:spacing w:after="120"/>
        <w:rPr>
          <w:color w:val="000000"/>
          <w:lang w:val="en-CA"/>
        </w:rPr>
      </w:pPr>
      <w:r w:rsidRPr="00664CC7">
        <w:rPr>
          <w:b/>
          <w:color w:val="000000"/>
          <w:lang w:val="en-CA"/>
        </w:rPr>
        <w:t>I.</w:t>
      </w:r>
      <w:r w:rsidR="00A25A7C" w:rsidRPr="00664CC7">
        <w:rPr>
          <w:b/>
          <w:color w:val="000000"/>
          <w:lang w:val="en-CA"/>
        </w:rPr>
        <w:t>5</w:t>
      </w:r>
      <w:r w:rsidRPr="00664CC7">
        <w:rPr>
          <w:b/>
          <w:color w:val="000000"/>
          <w:lang w:val="en-CA"/>
        </w:rPr>
        <w:tab/>
      </w:r>
      <w:r w:rsidR="006C23F9" w:rsidRPr="00664CC7">
        <w:rPr>
          <w:b/>
          <w:color w:val="000000"/>
          <w:lang w:val="en-CA"/>
        </w:rPr>
        <w:t>Financial report</w:t>
      </w:r>
      <w:r w:rsidR="00A25A7C" w:rsidRPr="00664CC7">
        <w:rPr>
          <w:color w:val="000000"/>
          <w:lang w:val="en-CA"/>
        </w:rPr>
        <w:tab/>
      </w:r>
    </w:p>
    <w:p w14:paraId="0F6CEA78" w14:textId="363CA893" w:rsidR="00763DE1" w:rsidRPr="00664CC7" w:rsidRDefault="00763DE1" w:rsidP="00664CC7">
      <w:pPr>
        <w:rPr>
          <w:rFonts w:eastAsia="SimSun"/>
          <w:lang w:eastAsia="zh-CN"/>
        </w:rPr>
      </w:pPr>
      <w:r w:rsidRPr="00664CC7">
        <w:rPr>
          <w:rFonts w:eastAsia="SimSun"/>
          <w:lang w:eastAsia="zh-CN"/>
        </w:rPr>
        <w:t>The total budget for HPMP Stage I</w:t>
      </w:r>
      <w:r w:rsidR="009E3E93">
        <w:rPr>
          <w:rFonts w:eastAsia="SimSun"/>
          <w:lang w:eastAsia="zh-CN"/>
        </w:rPr>
        <w:t>I Tranche 1</w:t>
      </w:r>
      <w:r w:rsidRPr="00664CC7">
        <w:rPr>
          <w:rFonts w:eastAsia="SimSun"/>
          <w:lang w:eastAsia="zh-CN"/>
        </w:rPr>
        <w:t xml:space="preserve"> during 20</w:t>
      </w:r>
      <w:r w:rsidR="00F41FE9" w:rsidRPr="00664CC7">
        <w:rPr>
          <w:rFonts w:eastAsia="SimSun"/>
          <w:lang w:eastAsia="zh-CN"/>
        </w:rPr>
        <w:t>2</w:t>
      </w:r>
      <w:r w:rsidR="009E3E93">
        <w:rPr>
          <w:rFonts w:eastAsia="SimSun"/>
          <w:lang w:eastAsia="zh-CN"/>
        </w:rPr>
        <w:t>2</w:t>
      </w:r>
      <w:r w:rsidRPr="00664CC7">
        <w:rPr>
          <w:rFonts w:eastAsia="SimSun"/>
          <w:lang w:eastAsia="zh-CN"/>
        </w:rPr>
        <w:t>-202</w:t>
      </w:r>
      <w:r w:rsidR="009E3E93">
        <w:rPr>
          <w:rFonts w:eastAsia="SimSun"/>
          <w:lang w:eastAsia="zh-CN"/>
        </w:rPr>
        <w:t>4</w:t>
      </w:r>
      <w:r w:rsidRPr="00664CC7">
        <w:rPr>
          <w:rFonts w:eastAsia="SimSun"/>
          <w:lang w:eastAsia="zh-CN"/>
        </w:rPr>
        <w:t xml:space="preserve"> so far is US$ </w:t>
      </w:r>
      <w:r w:rsidR="00FE1970">
        <w:rPr>
          <w:rFonts w:eastAsia="SimSun"/>
          <w:lang w:eastAsia="zh-CN"/>
        </w:rPr>
        <w:t xml:space="preserve">190, </w:t>
      </w:r>
      <w:proofErr w:type="gramStart"/>
      <w:r w:rsidR="00FE1970">
        <w:rPr>
          <w:rFonts w:eastAsia="SimSun"/>
          <w:lang w:eastAsia="zh-CN"/>
        </w:rPr>
        <w:t xml:space="preserve">839.00 </w:t>
      </w:r>
      <w:r w:rsidR="00C11FAE" w:rsidRPr="00664CC7">
        <w:rPr>
          <w:rFonts w:eastAsia="SimSun"/>
          <w:lang w:eastAsia="zh-CN"/>
        </w:rPr>
        <w:t xml:space="preserve"> </w:t>
      </w:r>
      <w:r w:rsidRPr="00664CC7">
        <w:rPr>
          <w:rFonts w:eastAsia="SimSun"/>
          <w:lang w:eastAsia="zh-CN"/>
        </w:rPr>
        <w:t>.</w:t>
      </w:r>
      <w:proofErr w:type="gramEnd"/>
      <w:r w:rsidRPr="00664CC7">
        <w:rPr>
          <w:rFonts w:eastAsia="SimSun"/>
          <w:lang w:eastAsia="zh-CN"/>
        </w:rPr>
        <w:t xml:space="preserve"> </w:t>
      </w:r>
    </w:p>
    <w:p w14:paraId="606BBD35" w14:textId="77777777" w:rsidR="00763DE1" w:rsidRPr="00A50756" w:rsidRDefault="00763DE1" w:rsidP="00664CC7">
      <w:pPr>
        <w:rPr>
          <w:rFonts w:eastAsia="SimSun"/>
          <w:lang w:eastAsia="zh-CN"/>
        </w:rPr>
      </w:pPr>
    </w:p>
    <w:p w14:paraId="20467C43" w14:textId="0A9B9B48" w:rsidR="00763DE1" w:rsidRPr="00A50756" w:rsidRDefault="001B3349" w:rsidP="001B3349">
      <w:pPr>
        <w:pStyle w:val="Caption"/>
        <w:rPr>
          <w:rFonts w:eastAsia="SimSun"/>
          <w:i w:val="0"/>
          <w:iCs w:val="0"/>
          <w:color w:val="auto"/>
          <w:lang w:eastAsia="zh-CN"/>
        </w:rPr>
      </w:pPr>
      <w:r w:rsidRPr="00A50756">
        <w:rPr>
          <w:i w:val="0"/>
          <w:color w:val="auto"/>
        </w:rPr>
        <w:t xml:space="preserve">Table </w:t>
      </w:r>
      <w:r w:rsidR="00765DEA" w:rsidRPr="00A50756">
        <w:rPr>
          <w:i w:val="0"/>
          <w:color w:val="auto"/>
        </w:rPr>
        <w:t>9</w:t>
      </w:r>
      <w:r w:rsidR="00763DE1" w:rsidRPr="00A50756">
        <w:rPr>
          <w:i w:val="0"/>
          <w:color w:val="auto"/>
          <w:lang w:eastAsia="zh-CN"/>
        </w:rPr>
        <w:t xml:space="preserve">: </w:t>
      </w:r>
      <w:r w:rsidR="00763DE1" w:rsidRPr="00A50756">
        <w:rPr>
          <w:rFonts w:eastAsia="SimSun"/>
          <w:i w:val="0"/>
          <w:color w:val="auto"/>
          <w:lang w:eastAsia="zh-CN"/>
        </w:rPr>
        <w:t xml:space="preserve">Budget utilisation of HPMP </w:t>
      </w:r>
      <w:r w:rsidR="00F41FE9" w:rsidRPr="00A50756">
        <w:rPr>
          <w:rFonts w:eastAsia="SimSun"/>
          <w:i w:val="0"/>
          <w:color w:val="auto"/>
          <w:lang w:eastAsia="zh-CN"/>
        </w:rPr>
        <w:t>S</w:t>
      </w:r>
      <w:r w:rsidR="00763DE1" w:rsidRPr="00A50756">
        <w:rPr>
          <w:rFonts w:eastAsia="SimSun"/>
          <w:i w:val="0"/>
          <w:color w:val="auto"/>
          <w:lang w:eastAsia="zh-CN"/>
        </w:rPr>
        <w:t xml:space="preserve">tage </w:t>
      </w:r>
      <w:r w:rsidR="00F41FE9" w:rsidRPr="00A50756">
        <w:rPr>
          <w:rFonts w:eastAsia="SimSun"/>
          <w:i w:val="0"/>
          <w:color w:val="auto"/>
          <w:lang w:eastAsia="zh-CN"/>
        </w:rPr>
        <w:t>I</w:t>
      </w:r>
      <w:r w:rsidR="009E3E93" w:rsidRPr="00A50756">
        <w:rPr>
          <w:rFonts w:eastAsia="SimSun"/>
          <w:i w:val="0"/>
          <w:color w:val="auto"/>
          <w:lang w:eastAsia="zh-CN"/>
        </w:rPr>
        <w:t>I</w:t>
      </w:r>
      <w:r w:rsidR="00F41FE9" w:rsidRPr="00A50756">
        <w:rPr>
          <w:rFonts w:eastAsia="SimSun"/>
          <w:i w:val="0"/>
          <w:color w:val="auto"/>
          <w:lang w:eastAsia="zh-CN"/>
        </w:rPr>
        <w:t xml:space="preserve"> Tranche 1</w:t>
      </w:r>
    </w:p>
    <w:p w14:paraId="740799F9" w14:textId="77777777" w:rsidR="00763DE1" w:rsidRPr="00A50756" w:rsidRDefault="00763DE1" w:rsidP="00664CC7">
      <w:pPr>
        <w:rPr>
          <w:rFonts w:eastAsia="SimSun"/>
          <w:lang w:eastAsia="zh-CN"/>
        </w:rPr>
      </w:pPr>
    </w:p>
    <w:tbl>
      <w:tblPr>
        <w:tblW w:w="7760" w:type="dxa"/>
        <w:tblLook w:val="04A0" w:firstRow="1" w:lastRow="0" w:firstColumn="1" w:lastColumn="0" w:noHBand="0" w:noVBand="1"/>
      </w:tblPr>
      <w:tblGrid>
        <w:gridCol w:w="2220"/>
        <w:gridCol w:w="2000"/>
        <w:gridCol w:w="1600"/>
        <w:gridCol w:w="1940"/>
      </w:tblGrid>
      <w:tr w:rsidR="00B21B81" w:rsidRPr="00E2393F" w14:paraId="13EAAB43" w14:textId="77777777" w:rsidTr="00B21B81">
        <w:trPr>
          <w:trHeight w:val="570"/>
        </w:trPr>
        <w:tc>
          <w:tcPr>
            <w:tcW w:w="222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3C2F0C00" w14:textId="77777777" w:rsidR="00B21B81" w:rsidRPr="00E2393F" w:rsidRDefault="00B21B81" w:rsidP="00176DEF">
            <w:pPr>
              <w:jc w:val="center"/>
              <w:rPr>
                <w:b/>
                <w:bCs/>
                <w:sz w:val="18"/>
                <w:szCs w:val="18"/>
                <w:lang w:val="en-US" w:eastAsia="ja-JP"/>
              </w:rPr>
            </w:pPr>
            <w:bookmarkStart w:id="18" w:name="RANGE!A1"/>
            <w:r w:rsidRPr="00E2393F">
              <w:rPr>
                <w:b/>
                <w:bCs/>
                <w:sz w:val="18"/>
                <w:szCs w:val="18"/>
                <w:lang w:val="en-US" w:eastAsia="ja-JP"/>
              </w:rPr>
              <w:t>Tranche 1</w:t>
            </w:r>
            <w:bookmarkEnd w:id="18"/>
          </w:p>
        </w:tc>
        <w:tc>
          <w:tcPr>
            <w:tcW w:w="2000"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73EC2607" w14:textId="77777777" w:rsidR="00B21B81" w:rsidRPr="00E2393F" w:rsidRDefault="00B21B81" w:rsidP="00176DEF">
            <w:pPr>
              <w:jc w:val="center"/>
              <w:rPr>
                <w:b/>
                <w:bCs/>
                <w:sz w:val="18"/>
                <w:szCs w:val="18"/>
                <w:lang w:val="en-US" w:eastAsia="ja-JP"/>
              </w:rPr>
            </w:pPr>
            <w:r w:rsidRPr="00E2393F">
              <w:rPr>
                <w:b/>
                <w:bCs/>
                <w:sz w:val="18"/>
                <w:szCs w:val="18"/>
                <w:lang w:val="en-US" w:eastAsia="ja-JP"/>
              </w:rPr>
              <w:t>Approved / USD</w:t>
            </w:r>
          </w:p>
        </w:tc>
        <w:tc>
          <w:tcPr>
            <w:tcW w:w="1600"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457BC611" w14:textId="0EE7B319" w:rsidR="00B21B81" w:rsidRPr="00E2393F" w:rsidRDefault="00B21B81" w:rsidP="00176DEF">
            <w:pPr>
              <w:jc w:val="center"/>
              <w:rPr>
                <w:b/>
                <w:bCs/>
                <w:sz w:val="18"/>
                <w:szCs w:val="18"/>
                <w:lang w:val="en-US" w:eastAsia="ja-JP"/>
              </w:rPr>
            </w:pPr>
            <w:r w:rsidRPr="00E2393F">
              <w:rPr>
                <w:b/>
                <w:bCs/>
                <w:sz w:val="18"/>
                <w:szCs w:val="18"/>
                <w:lang w:val="en-US" w:eastAsia="ja-JP"/>
              </w:rPr>
              <w:t xml:space="preserve">Disbursed </w:t>
            </w:r>
            <w:r w:rsidRPr="00176DEF">
              <w:rPr>
                <w:b/>
                <w:bCs/>
                <w:sz w:val="18"/>
                <w:szCs w:val="18"/>
                <w:lang w:val="en-US" w:eastAsia="ja-JP"/>
              </w:rPr>
              <w:t xml:space="preserve">and committed </w:t>
            </w:r>
            <w:r w:rsidRPr="00E2393F">
              <w:rPr>
                <w:b/>
                <w:bCs/>
                <w:sz w:val="18"/>
                <w:szCs w:val="18"/>
                <w:lang w:val="en-US" w:eastAsia="ja-JP"/>
              </w:rPr>
              <w:t>USD</w:t>
            </w:r>
          </w:p>
        </w:tc>
        <w:tc>
          <w:tcPr>
            <w:tcW w:w="1940"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602C05E2" w14:textId="1D3B2593" w:rsidR="00B21B81" w:rsidRPr="00E2393F" w:rsidRDefault="00B21B81" w:rsidP="00176DEF">
            <w:pPr>
              <w:jc w:val="center"/>
              <w:rPr>
                <w:b/>
                <w:bCs/>
                <w:sz w:val="18"/>
                <w:szCs w:val="18"/>
                <w:lang w:val="en-US" w:eastAsia="ja-JP"/>
              </w:rPr>
            </w:pPr>
            <w:r w:rsidRPr="00E2393F">
              <w:rPr>
                <w:b/>
                <w:bCs/>
                <w:sz w:val="18"/>
                <w:szCs w:val="18"/>
                <w:lang w:val="en-US" w:eastAsia="ja-JP"/>
              </w:rPr>
              <w:t>Balance / USD</w:t>
            </w:r>
            <w:r w:rsidR="00C006D9">
              <w:rPr>
                <w:rStyle w:val="FootnoteReference"/>
                <w:b/>
                <w:bCs/>
                <w:sz w:val="18"/>
                <w:szCs w:val="18"/>
                <w:lang w:val="en-US" w:eastAsia="ja-JP"/>
              </w:rPr>
              <w:footnoteReference w:id="2"/>
            </w:r>
          </w:p>
        </w:tc>
      </w:tr>
      <w:tr w:rsidR="00B21B81" w:rsidRPr="00E2393F" w14:paraId="1152FE86" w14:textId="77777777" w:rsidTr="00B21B81">
        <w:trPr>
          <w:trHeight w:val="300"/>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8DBFE" w14:textId="77777777" w:rsidR="00B21B81" w:rsidRPr="00E2393F" w:rsidRDefault="00B21B81" w:rsidP="00176DEF">
            <w:pPr>
              <w:jc w:val="right"/>
              <w:rPr>
                <w:sz w:val="18"/>
                <w:szCs w:val="18"/>
                <w:lang w:val="en-US" w:eastAsia="ja-JP"/>
              </w:rPr>
            </w:pPr>
            <w:r w:rsidRPr="00E2393F">
              <w:rPr>
                <w:sz w:val="18"/>
                <w:szCs w:val="18"/>
                <w:lang w:val="en-US" w:eastAsia="ja-JP"/>
              </w:rPr>
              <w:t>UNDP</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C7105" w14:textId="77777777" w:rsidR="00B21B81" w:rsidRPr="00E2393F" w:rsidRDefault="00B21B81" w:rsidP="00176DEF">
            <w:pPr>
              <w:jc w:val="right"/>
              <w:rPr>
                <w:sz w:val="18"/>
                <w:szCs w:val="18"/>
                <w:lang w:val="en-US" w:eastAsia="ja-JP"/>
              </w:rPr>
            </w:pPr>
            <w:r w:rsidRPr="00E2393F">
              <w:rPr>
                <w:sz w:val="18"/>
                <w:szCs w:val="18"/>
                <w:lang w:val="en-US" w:eastAsia="ja-JP"/>
              </w:rPr>
              <w:t>190,839.00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8AD2E" w14:textId="4A237FA6" w:rsidR="00B21B81" w:rsidRPr="00E2393F" w:rsidRDefault="00B21B81" w:rsidP="00176DEF">
            <w:pPr>
              <w:jc w:val="right"/>
              <w:rPr>
                <w:sz w:val="18"/>
                <w:szCs w:val="18"/>
                <w:lang w:val="en-US" w:eastAsia="ja-JP"/>
              </w:rPr>
            </w:pPr>
            <w:r w:rsidRPr="00E2393F">
              <w:rPr>
                <w:sz w:val="18"/>
                <w:szCs w:val="18"/>
                <w:lang w:val="en-US" w:eastAsia="ja-JP"/>
              </w:rPr>
              <w:t>1</w:t>
            </w:r>
            <w:r>
              <w:rPr>
                <w:sz w:val="18"/>
                <w:szCs w:val="18"/>
                <w:lang w:val="en-US" w:eastAsia="ja-JP"/>
              </w:rPr>
              <w:t>58</w:t>
            </w:r>
            <w:r w:rsidRPr="00E2393F">
              <w:rPr>
                <w:sz w:val="18"/>
                <w:szCs w:val="18"/>
                <w:lang w:val="en-US" w:eastAsia="ja-JP"/>
              </w:rPr>
              <w:t>,</w:t>
            </w:r>
            <w:r>
              <w:rPr>
                <w:sz w:val="18"/>
                <w:szCs w:val="18"/>
                <w:lang w:val="en-US" w:eastAsia="ja-JP"/>
              </w:rPr>
              <w:t>169</w:t>
            </w:r>
            <w:r w:rsidRPr="00E2393F">
              <w:rPr>
                <w:sz w:val="18"/>
                <w:szCs w:val="18"/>
                <w:lang w:val="en-US" w:eastAsia="ja-JP"/>
              </w:rPr>
              <w:t>.83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F6B44" w14:textId="77777777" w:rsidR="00B21B81" w:rsidRPr="00E2393F" w:rsidRDefault="00B21B81" w:rsidP="00176DEF">
            <w:pPr>
              <w:jc w:val="right"/>
              <w:rPr>
                <w:sz w:val="18"/>
                <w:szCs w:val="18"/>
                <w:lang w:val="en-US" w:eastAsia="ja-JP"/>
              </w:rPr>
            </w:pPr>
            <w:r w:rsidRPr="00E2393F">
              <w:rPr>
                <w:sz w:val="18"/>
                <w:szCs w:val="18"/>
                <w:lang w:val="en-US" w:eastAsia="ja-JP"/>
              </w:rPr>
              <w:t>32,669.17</w:t>
            </w:r>
          </w:p>
        </w:tc>
      </w:tr>
      <w:tr w:rsidR="00B21B81" w:rsidRPr="00E2393F" w14:paraId="22BEFDDE" w14:textId="77777777" w:rsidTr="000F5E2A">
        <w:trPr>
          <w:trHeight w:val="300"/>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14:paraId="4CB4EFB7" w14:textId="5DBBCB7C" w:rsidR="00B21B81" w:rsidRPr="00E2393F" w:rsidRDefault="00B21B81" w:rsidP="00176DEF">
            <w:pPr>
              <w:jc w:val="right"/>
              <w:rPr>
                <w:sz w:val="18"/>
                <w:szCs w:val="18"/>
                <w:lang w:val="en-US" w:eastAsia="ja-JP"/>
              </w:rPr>
            </w:pPr>
            <w:r w:rsidRPr="00A50756">
              <w:rPr>
                <w:sz w:val="18"/>
                <w:szCs w:val="18"/>
                <w:lang w:val="en-US" w:eastAsia="ja-JP"/>
              </w:rPr>
              <w:t>Disbursement rate (%)</w:t>
            </w:r>
          </w:p>
        </w:tc>
        <w:tc>
          <w:tcPr>
            <w:tcW w:w="5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998639" w14:textId="13CE47DB" w:rsidR="00B21B81" w:rsidRPr="00E2393F" w:rsidRDefault="00B21B81" w:rsidP="00B21B81">
            <w:pPr>
              <w:rPr>
                <w:sz w:val="18"/>
                <w:szCs w:val="18"/>
                <w:lang w:val="en-US" w:eastAsia="ja-JP"/>
              </w:rPr>
            </w:pPr>
            <w:r>
              <w:rPr>
                <w:sz w:val="18"/>
                <w:szCs w:val="18"/>
                <w:lang w:val="en-US" w:eastAsia="ja-JP"/>
              </w:rPr>
              <w:t xml:space="preserve">                                          83%</w:t>
            </w:r>
          </w:p>
        </w:tc>
      </w:tr>
    </w:tbl>
    <w:p w14:paraId="01DDFFC4" w14:textId="77777777" w:rsidR="00765DEA" w:rsidRPr="00A50756" w:rsidRDefault="00765DEA" w:rsidP="00954F05">
      <w:pPr>
        <w:pStyle w:val="Caption"/>
        <w:rPr>
          <w:i w:val="0"/>
          <w:color w:val="auto"/>
          <w:sz w:val="22"/>
          <w:szCs w:val="22"/>
        </w:rPr>
      </w:pPr>
    </w:p>
    <w:p w14:paraId="08015244" w14:textId="27518430" w:rsidR="00763DE1" w:rsidRDefault="004F0FD1" w:rsidP="00954F05">
      <w:pPr>
        <w:pStyle w:val="Caption"/>
        <w:rPr>
          <w:rFonts w:eastAsia="SimSun"/>
          <w:i w:val="0"/>
          <w:color w:val="auto"/>
          <w:lang w:eastAsia="zh-CN"/>
        </w:rPr>
      </w:pPr>
      <w:r w:rsidRPr="00FF5F78">
        <w:rPr>
          <w:i w:val="0"/>
          <w:color w:val="auto"/>
        </w:rPr>
        <w:t xml:space="preserve">Table </w:t>
      </w:r>
      <w:r w:rsidR="00765DEA" w:rsidRPr="00FF5F78">
        <w:rPr>
          <w:i w:val="0"/>
          <w:color w:val="auto"/>
        </w:rPr>
        <w:t>10</w:t>
      </w:r>
      <w:r w:rsidR="00763DE1" w:rsidRPr="00FF5F78">
        <w:rPr>
          <w:rFonts w:eastAsia="SimSun"/>
          <w:i w:val="0"/>
          <w:color w:val="auto"/>
          <w:lang w:eastAsia="zh-CN"/>
        </w:rPr>
        <w:t xml:space="preserve">: Financial performance of HPMP Stage </w:t>
      </w:r>
      <w:r w:rsidR="005368F5" w:rsidRPr="00FF5F78">
        <w:rPr>
          <w:rFonts w:eastAsia="SimSun"/>
          <w:i w:val="0"/>
          <w:color w:val="auto"/>
          <w:lang w:eastAsia="zh-CN"/>
        </w:rPr>
        <w:t>I</w:t>
      </w:r>
      <w:r w:rsidR="00BB5450" w:rsidRPr="00FF5F78">
        <w:rPr>
          <w:rFonts w:eastAsia="SimSun"/>
          <w:i w:val="0"/>
          <w:color w:val="auto"/>
          <w:lang w:eastAsia="zh-CN"/>
        </w:rPr>
        <w:t>I</w:t>
      </w:r>
      <w:r w:rsidR="00763DE1" w:rsidRPr="00FF5F78">
        <w:rPr>
          <w:rFonts w:eastAsia="SimSun"/>
          <w:i w:val="0"/>
          <w:color w:val="auto"/>
          <w:lang w:eastAsia="zh-CN"/>
        </w:rPr>
        <w:t>: Tranche 1</w:t>
      </w:r>
    </w:p>
    <w:tbl>
      <w:tblPr>
        <w:tblW w:w="9415" w:type="dxa"/>
        <w:tblInd w:w="-45" w:type="dxa"/>
        <w:tblLayout w:type="fixed"/>
        <w:tblLook w:val="0000" w:firstRow="0" w:lastRow="0" w:firstColumn="0" w:lastColumn="0" w:noHBand="0" w:noVBand="0"/>
      </w:tblPr>
      <w:tblGrid>
        <w:gridCol w:w="2190"/>
        <w:gridCol w:w="1364"/>
        <w:gridCol w:w="1260"/>
        <w:gridCol w:w="1170"/>
        <w:gridCol w:w="1350"/>
        <w:gridCol w:w="2081"/>
      </w:tblGrid>
      <w:tr w:rsidR="00100F69" w14:paraId="05067980" w14:textId="77777777" w:rsidTr="00100F69">
        <w:trPr>
          <w:trHeight w:val="1130"/>
        </w:trPr>
        <w:tc>
          <w:tcPr>
            <w:tcW w:w="219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517BAAE" w14:textId="77777777" w:rsidR="00100F69" w:rsidRPr="00B21B81" w:rsidRDefault="00100F69" w:rsidP="00B21B81">
            <w:pPr>
              <w:jc w:val="center"/>
              <w:rPr>
                <w:b/>
                <w:bCs/>
                <w:sz w:val="18"/>
                <w:szCs w:val="18"/>
                <w:lang w:val="en-US" w:eastAsia="ja-JP"/>
              </w:rPr>
            </w:pPr>
            <w:r w:rsidRPr="00B21B81">
              <w:rPr>
                <w:b/>
                <w:bCs/>
                <w:sz w:val="18"/>
                <w:szCs w:val="18"/>
                <w:lang w:val="en-US" w:eastAsia="ja-JP"/>
              </w:rPr>
              <w:t>Components and implementing agency</w:t>
            </w:r>
          </w:p>
        </w:tc>
        <w:tc>
          <w:tcPr>
            <w:tcW w:w="1364" w:type="dxa"/>
            <w:tcBorders>
              <w:top w:val="single" w:sz="12" w:space="0" w:color="auto"/>
              <w:left w:val="nil"/>
              <w:bottom w:val="single" w:sz="12" w:space="0" w:color="auto"/>
              <w:right w:val="single" w:sz="12" w:space="0" w:color="auto"/>
            </w:tcBorders>
            <w:shd w:val="clear" w:color="auto" w:fill="F2F2F2" w:themeFill="background1" w:themeFillShade="F2"/>
          </w:tcPr>
          <w:p w14:paraId="5A6192D4" w14:textId="77777777" w:rsidR="00100F69" w:rsidRPr="00B21B81" w:rsidRDefault="00100F69" w:rsidP="00B21B81">
            <w:pPr>
              <w:jc w:val="center"/>
              <w:rPr>
                <w:b/>
                <w:bCs/>
                <w:sz w:val="18"/>
                <w:szCs w:val="18"/>
                <w:lang w:val="en-US" w:eastAsia="ja-JP"/>
              </w:rPr>
            </w:pPr>
            <w:r w:rsidRPr="00B21B81">
              <w:rPr>
                <w:b/>
                <w:bCs/>
                <w:sz w:val="18"/>
                <w:szCs w:val="18"/>
                <w:lang w:val="en-US" w:eastAsia="ja-JP"/>
              </w:rPr>
              <w:t>Cumulative Funding Approved by ExCom</w:t>
            </w:r>
          </w:p>
        </w:tc>
        <w:tc>
          <w:tcPr>
            <w:tcW w:w="1260" w:type="dxa"/>
            <w:tcBorders>
              <w:top w:val="single" w:sz="12" w:space="0" w:color="auto"/>
              <w:left w:val="nil"/>
              <w:bottom w:val="single" w:sz="12" w:space="0" w:color="auto"/>
              <w:right w:val="single" w:sz="12" w:space="0" w:color="auto"/>
            </w:tcBorders>
            <w:shd w:val="clear" w:color="auto" w:fill="F2F2F2" w:themeFill="background1" w:themeFillShade="F2"/>
          </w:tcPr>
          <w:p w14:paraId="6C4AC540" w14:textId="77777777" w:rsidR="00100F69" w:rsidRPr="00B21B81" w:rsidRDefault="00100F69" w:rsidP="00B21B81">
            <w:pPr>
              <w:jc w:val="center"/>
              <w:rPr>
                <w:b/>
                <w:bCs/>
                <w:sz w:val="18"/>
                <w:szCs w:val="18"/>
                <w:lang w:val="en-US" w:eastAsia="ja-JP"/>
              </w:rPr>
            </w:pPr>
            <w:r w:rsidRPr="00B21B81">
              <w:rPr>
                <w:b/>
                <w:bCs/>
                <w:sz w:val="18"/>
                <w:szCs w:val="18"/>
                <w:lang w:val="en-US" w:eastAsia="ja-JP"/>
              </w:rPr>
              <w:t>Cumulative Funding Disbursed</w:t>
            </w:r>
          </w:p>
        </w:tc>
        <w:tc>
          <w:tcPr>
            <w:tcW w:w="1170" w:type="dxa"/>
            <w:tcBorders>
              <w:top w:val="single" w:sz="12" w:space="0" w:color="auto"/>
              <w:left w:val="nil"/>
              <w:bottom w:val="single" w:sz="12" w:space="0" w:color="auto"/>
              <w:right w:val="single" w:sz="12" w:space="0" w:color="auto"/>
            </w:tcBorders>
            <w:shd w:val="clear" w:color="auto" w:fill="F2F2F2" w:themeFill="background1" w:themeFillShade="F2"/>
          </w:tcPr>
          <w:p w14:paraId="0B7E1A38" w14:textId="77777777" w:rsidR="00100F69" w:rsidRPr="00B21B81" w:rsidRDefault="00100F69" w:rsidP="00B21B81">
            <w:pPr>
              <w:jc w:val="center"/>
              <w:rPr>
                <w:b/>
                <w:bCs/>
                <w:sz w:val="18"/>
                <w:szCs w:val="18"/>
                <w:lang w:val="en-US" w:eastAsia="ja-JP"/>
              </w:rPr>
            </w:pPr>
            <w:r w:rsidRPr="00B21B81">
              <w:rPr>
                <w:b/>
                <w:bCs/>
                <w:sz w:val="18"/>
                <w:szCs w:val="18"/>
                <w:lang w:val="en-US" w:eastAsia="ja-JP"/>
              </w:rPr>
              <w:t>Cumulative Committed Funding</w:t>
            </w:r>
          </w:p>
        </w:tc>
        <w:tc>
          <w:tcPr>
            <w:tcW w:w="1350" w:type="dxa"/>
            <w:tcBorders>
              <w:top w:val="single" w:sz="12" w:space="0" w:color="auto"/>
              <w:left w:val="nil"/>
              <w:bottom w:val="single" w:sz="12" w:space="0" w:color="auto"/>
              <w:right w:val="single" w:sz="12" w:space="0" w:color="auto"/>
            </w:tcBorders>
            <w:shd w:val="clear" w:color="auto" w:fill="F2F2F2" w:themeFill="background1" w:themeFillShade="F2"/>
          </w:tcPr>
          <w:p w14:paraId="7FC09475" w14:textId="77777777" w:rsidR="00100F69" w:rsidRPr="00B21B81" w:rsidRDefault="00100F69" w:rsidP="00B21B81">
            <w:pPr>
              <w:jc w:val="center"/>
              <w:rPr>
                <w:b/>
                <w:bCs/>
                <w:sz w:val="18"/>
                <w:szCs w:val="18"/>
                <w:lang w:val="en-US" w:eastAsia="ja-JP"/>
              </w:rPr>
            </w:pPr>
            <w:r w:rsidRPr="00B21B81">
              <w:rPr>
                <w:b/>
                <w:bCs/>
                <w:sz w:val="18"/>
                <w:szCs w:val="18"/>
                <w:lang w:val="en-US" w:eastAsia="ja-JP"/>
              </w:rPr>
              <w:t xml:space="preserve">Cumulative uncommitted funding </w:t>
            </w:r>
          </w:p>
        </w:tc>
        <w:tc>
          <w:tcPr>
            <w:tcW w:w="2081" w:type="dxa"/>
            <w:tcBorders>
              <w:top w:val="single" w:sz="12" w:space="0" w:color="auto"/>
              <w:left w:val="nil"/>
              <w:bottom w:val="single" w:sz="12" w:space="0" w:color="auto"/>
              <w:right w:val="single" w:sz="12" w:space="0" w:color="auto"/>
            </w:tcBorders>
            <w:shd w:val="clear" w:color="auto" w:fill="F2F2F2" w:themeFill="background1" w:themeFillShade="F2"/>
          </w:tcPr>
          <w:p w14:paraId="627D893B" w14:textId="77777777" w:rsidR="00100F69" w:rsidRDefault="00100F69">
            <w:pPr>
              <w:autoSpaceDE w:val="0"/>
              <w:autoSpaceDN w:val="0"/>
              <w:adjustRightInd w:val="0"/>
              <w:jc w:val="left"/>
              <w:rPr>
                <w:b/>
                <w:bCs/>
                <w:color w:val="000000"/>
                <w:lang w:val="en-US" w:eastAsia="en-CA"/>
              </w:rPr>
            </w:pPr>
            <w:r>
              <w:rPr>
                <w:b/>
                <w:bCs/>
                <w:color w:val="000000"/>
                <w:lang w:val="en-US" w:eastAsia="en-CA"/>
              </w:rPr>
              <w:t>Expected timeline for disbursement of balance funds</w:t>
            </w:r>
          </w:p>
        </w:tc>
      </w:tr>
      <w:tr w:rsidR="00100F69" w:rsidRPr="00B21B81" w14:paraId="65F74BD7" w14:textId="77777777" w:rsidTr="00100F69">
        <w:trPr>
          <w:trHeight w:val="516"/>
        </w:trPr>
        <w:tc>
          <w:tcPr>
            <w:tcW w:w="2190" w:type="dxa"/>
            <w:tcBorders>
              <w:top w:val="nil"/>
              <w:left w:val="single" w:sz="12" w:space="0" w:color="auto"/>
              <w:bottom w:val="single" w:sz="12" w:space="0" w:color="auto"/>
              <w:right w:val="single" w:sz="12" w:space="0" w:color="auto"/>
            </w:tcBorders>
          </w:tcPr>
          <w:p w14:paraId="61394D80" w14:textId="77777777" w:rsidR="00100F69" w:rsidRPr="00B21B81" w:rsidRDefault="00100F69" w:rsidP="00B21B81">
            <w:pPr>
              <w:jc w:val="right"/>
              <w:rPr>
                <w:sz w:val="18"/>
                <w:szCs w:val="18"/>
                <w:lang w:val="en-US" w:eastAsia="ja-JP"/>
              </w:rPr>
            </w:pPr>
            <w:r w:rsidRPr="00B21B81">
              <w:rPr>
                <w:sz w:val="18"/>
                <w:szCs w:val="18"/>
                <w:lang w:val="en-US" w:eastAsia="ja-JP"/>
              </w:rPr>
              <w:t>Component 1: Legal and Regulatory Measures</w:t>
            </w:r>
          </w:p>
        </w:tc>
        <w:tc>
          <w:tcPr>
            <w:tcW w:w="1364" w:type="dxa"/>
            <w:tcBorders>
              <w:top w:val="nil"/>
              <w:left w:val="nil"/>
              <w:bottom w:val="single" w:sz="12" w:space="0" w:color="auto"/>
              <w:right w:val="single" w:sz="12" w:space="0" w:color="auto"/>
            </w:tcBorders>
          </w:tcPr>
          <w:p w14:paraId="6E5F0A2E" w14:textId="77777777" w:rsidR="00100F69" w:rsidRPr="00B21B81" w:rsidRDefault="00100F69" w:rsidP="00B21B81">
            <w:pPr>
              <w:jc w:val="right"/>
              <w:rPr>
                <w:sz w:val="18"/>
                <w:szCs w:val="18"/>
                <w:lang w:val="en-US" w:eastAsia="ja-JP"/>
              </w:rPr>
            </w:pPr>
            <w:r w:rsidRPr="00B21B81">
              <w:rPr>
                <w:sz w:val="18"/>
                <w:szCs w:val="18"/>
                <w:lang w:val="en-US" w:eastAsia="ja-JP"/>
              </w:rPr>
              <w:t>32,000.00</w:t>
            </w:r>
          </w:p>
        </w:tc>
        <w:tc>
          <w:tcPr>
            <w:tcW w:w="1260" w:type="dxa"/>
            <w:tcBorders>
              <w:top w:val="nil"/>
              <w:left w:val="nil"/>
              <w:bottom w:val="single" w:sz="12" w:space="0" w:color="auto"/>
              <w:right w:val="single" w:sz="12" w:space="0" w:color="auto"/>
            </w:tcBorders>
          </w:tcPr>
          <w:p w14:paraId="4F166904" w14:textId="77777777" w:rsidR="00100F69" w:rsidRPr="00B21B81" w:rsidRDefault="00100F69" w:rsidP="00B21B81">
            <w:pPr>
              <w:jc w:val="right"/>
              <w:rPr>
                <w:sz w:val="18"/>
                <w:szCs w:val="18"/>
                <w:lang w:val="en-US" w:eastAsia="ja-JP"/>
              </w:rPr>
            </w:pPr>
            <w:r w:rsidRPr="00B21B81">
              <w:rPr>
                <w:sz w:val="18"/>
                <w:szCs w:val="18"/>
                <w:lang w:val="en-US" w:eastAsia="ja-JP"/>
              </w:rPr>
              <w:t>21,254.75</w:t>
            </w:r>
          </w:p>
        </w:tc>
        <w:tc>
          <w:tcPr>
            <w:tcW w:w="1170" w:type="dxa"/>
            <w:tcBorders>
              <w:top w:val="nil"/>
              <w:left w:val="nil"/>
              <w:bottom w:val="single" w:sz="12" w:space="0" w:color="auto"/>
              <w:right w:val="single" w:sz="12" w:space="0" w:color="auto"/>
            </w:tcBorders>
          </w:tcPr>
          <w:p w14:paraId="29C7A448" w14:textId="77777777" w:rsidR="00100F69" w:rsidRPr="00B21B81" w:rsidRDefault="00100F69" w:rsidP="00B21B81">
            <w:pPr>
              <w:jc w:val="right"/>
              <w:rPr>
                <w:sz w:val="18"/>
                <w:szCs w:val="18"/>
                <w:lang w:val="en-US" w:eastAsia="ja-JP"/>
              </w:rPr>
            </w:pPr>
            <w:r w:rsidRPr="00B21B81">
              <w:rPr>
                <w:sz w:val="18"/>
                <w:szCs w:val="18"/>
                <w:lang w:val="en-US" w:eastAsia="ja-JP"/>
              </w:rPr>
              <w:t>0.00</w:t>
            </w:r>
          </w:p>
        </w:tc>
        <w:tc>
          <w:tcPr>
            <w:tcW w:w="1350" w:type="dxa"/>
            <w:tcBorders>
              <w:top w:val="nil"/>
              <w:left w:val="nil"/>
              <w:bottom w:val="single" w:sz="12" w:space="0" w:color="auto"/>
              <w:right w:val="single" w:sz="12" w:space="0" w:color="auto"/>
            </w:tcBorders>
          </w:tcPr>
          <w:p w14:paraId="6AF63239" w14:textId="77777777" w:rsidR="00100F69" w:rsidRPr="00B21B81" w:rsidRDefault="00100F69" w:rsidP="00B21B81">
            <w:pPr>
              <w:jc w:val="right"/>
              <w:rPr>
                <w:sz w:val="18"/>
                <w:szCs w:val="18"/>
                <w:lang w:val="en-US" w:eastAsia="ja-JP"/>
              </w:rPr>
            </w:pPr>
            <w:r w:rsidRPr="00B21B81">
              <w:rPr>
                <w:sz w:val="18"/>
                <w:szCs w:val="18"/>
                <w:lang w:val="en-US" w:eastAsia="ja-JP"/>
              </w:rPr>
              <w:t>9,709.17</w:t>
            </w:r>
          </w:p>
        </w:tc>
        <w:tc>
          <w:tcPr>
            <w:tcW w:w="2081" w:type="dxa"/>
            <w:tcBorders>
              <w:top w:val="nil"/>
              <w:left w:val="nil"/>
              <w:bottom w:val="single" w:sz="12" w:space="0" w:color="auto"/>
              <w:right w:val="single" w:sz="12" w:space="0" w:color="auto"/>
            </w:tcBorders>
          </w:tcPr>
          <w:p w14:paraId="2F90ED95" w14:textId="77777777" w:rsidR="00100F69" w:rsidRPr="00B21B81" w:rsidRDefault="00100F69" w:rsidP="00B21B81">
            <w:pPr>
              <w:jc w:val="right"/>
              <w:rPr>
                <w:sz w:val="18"/>
                <w:szCs w:val="18"/>
                <w:lang w:val="en-US" w:eastAsia="ja-JP"/>
              </w:rPr>
            </w:pPr>
            <w:r w:rsidRPr="00B21B81">
              <w:rPr>
                <w:sz w:val="18"/>
                <w:szCs w:val="18"/>
                <w:lang w:val="en-US" w:eastAsia="ja-JP"/>
              </w:rPr>
              <w:t>December 31, 2024</w:t>
            </w:r>
          </w:p>
        </w:tc>
      </w:tr>
      <w:tr w:rsidR="00100F69" w:rsidRPr="00B21B81" w14:paraId="1A0A5EA6" w14:textId="77777777" w:rsidTr="00100F69">
        <w:trPr>
          <w:trHeight w:val="540"/>
        </w:trPr>
        <w:tc>
          <w:tcPr>
            <w:tcW w:w="2190" w:type="dxa"/>
            <w:tcBorders>
              <w:top w:val="nil"/>
              <w:left w:val="single" w:sz="12" w:space="0" w:color="auto"/>
              <w:bottom w:val="single" w:sz="12" w:space="0" w:color="auto"/>
              <w:right w:val="single" w:sz="12" w:space="0" w:color="auto"/>
            </w:tcBorders>
          </w:tcPr>
          <w:p w14:paraId="5B25585C" w14:textId="77777777" w:rsidR="00100F69" w:rsidRPr="00B21B81" w:rsidRDefault="00100F69" w:rsidP="00B21B81">
            <w:pPr>
              <w:jc w:val="right"/>
              <w:rPr>
                <w:sz w:val="18"/>
                <w:szCs w:val="18"/>
                <w:lang w:val="en-US" w:eastAsia="ja-JP"/>
              </w:rPr>
            </w:pPr>
            <w:r w:rsidRPr="00B21B81">
              <w:rPr>
                <w:sz w:val="18"/>
                <w:szCs w:val="18"/>
                <w:lang w:val="en-US" w:eastAsia="ja-JP"/>
              </w:rPr>
              <w:t>Component 2: Capacity building training</w:t>
            </w:r>
          </w:p>
        </w:tc>
        <w:tc>
          <w:tcPr>
            <w:tcW w:w="1364" w:type="dxa"/>
            <w:tcBorders>
              <w:top w:val="nil"/>
              <w:left w:val="nil"/>
              <w:bottom w:val="single" w:sz="12" w:space="0" w:color="auto"/>
              <w:right w:val="single" w:sz="12" w:space="0" w:color="auto"/>
            </w:tcBorders>
          </w:tcPr>
          <w:p w14:paraId="42BBB8C8" w14:textId="77777777" w:rsidR="00100F69" w:rsidRPr="00B21B81" w:rsidRDefault="00100F69" w:rsidP="00B21B81">
            <w:pPr>
              <w:jc w:val="right"/>
              <w:rPr>
                <w:sz w:val="18"/>
                <w:szCs w:val="18"/>
                <w:lang w:val="en-US" w:eastAsia="ja-JP"/>
              </w:rPr>
            </w:pPr>
            <w:r w:rsidRPr="00B21B81">
              <w:rPr>
                <w:sz w:val="18"/>
                <w:szCs w:val="18"/>
                <w:lang w:val="en-US" w:eastAsia="ja-JP"/>
              </w:rPr>
              <w:t>58,250.00</w:t>
            </w:r>
          </w:p>
        </w:tc>
        <w:tc>
          <w:tcPr>
            <w:tcW w:w="1260" w:type="dxa"/>
            <w:tcBorders>
              <w:top w:val="nil"/>
              <w:left w:val="nil"/>
              <w:bottom w:val="single" w:sz="12" w:space="0" w:color="auto"/>
              <w:right w:val="single" w:sz="12" w:space="0" w:color="auto"/>
            </w:tcBorders>
          </w:tcPr>
          <w:p w14:paraId="36ACB80F" w14:textId="77777777" w:rsidR="00100F69" w:rsidRPr="00B21B81" w:rsidRDefault="00100F69" w:rsidP="00B21B81">
            <w:pPr>
              <w:jc w:val="right"/>
              <w:rPr>
                <w:sz w:val="18"/>
                <w:szCs w:val="18"/>
                <w:lang w:val="en-US" w:eastAsia="ja-JP"/>
              </w:rPr>
            </w:pPr>
            <w:r w:rsidRPr="00B21B81">
              <w:rPr>
                <w:sz w:val="18"/>
                <w:szCs w:val="18"/>
                <w:lang w:val="en-US" w:eastAsia="ja-JP"/>
              </w:rPr>
              <w:t>68,936.98</w:t>
            </w:r>
          </w:p>
        </w:tc>
        <w:tc>
          <w:tcPr>
            <w:tcW w:w="1170" w:type="dxa"/>
            <w:tcBorders>
              <w:top w:val="nil"/>
              <w:left w:val="nil"/>
              <w:bottom w:val="single" w:sz="12" w:space="0" w:color="auto"/>
              <w:right w:val="single" w:sz="12" w:space="0" w:color="auto"/>
            </w:tcBorders>
          </w:tcPr>
          <w:p w14:paraId="1B1DE467" w14:textId="77777777" w:rsidR="00100F69" w:rsidRPr="00B21B81" w:rsidRDefault="00100F69" w:rsidP="00B21B81">
            <w:pPr>
              <w:jc w:val="right"/>
              <w:rPr>
                <w:sz w:val="18"/>
                <w:szCs w:val="18"/>
                <w:lang w:val="en-US" w:eastAsia="ja-JP"/>
              </w:rPr>
            </w:pPr>
            <w:r w:rsidRPr="00B21B81">
              <w:rPr>
                <w:sz w:val="18"/>
                <w:szCs w:val="18"/>
                <w:lang w:val="en-US" w:eastAsia="ja-JP"/>
              </w:rPr>
              <w:t>2,565.00</w:t>
            </w:r>
          </w:p>
        </w:tc>
        <w:tc>
          <w:tcPr>
            <w:tcW w:w="1350" w:type="dxa"/>
            <w:tcBorders>
              <w:top w:val="nil"/>
              <w:left w:val="nil"/>
              <w:bottom w:val="single" w:sz="12" w:space="0" w:color="auto"/>
              <w:right w:val="single" w:sz="12" w:space="0" w:color="auto"/>
            </w:tcBorders>
          </w:tcPr>
          <w:p w14:paraId="64D00BCC" w14:textId="77777777" w:rsidR="00100F69" w:rsidRPr="00B21B81" w:rsidRDefault="00100F69" w:rsidP="00B21B81">
            <w:pPr>
              <w:jc w:val="right"/>
              <w:rPr>
                <w:sz w:val="18"/>
                <w:szCs w:val="18"/>
                <w:lang w:val="en-US" w:eastAsia="ja-JP"/>
              </w:rPr>
            </w:pPr>
            <w:r w:rsidRPr="00B21B81">
              <w:rPr>
                <w:sz w:val="18"/>
                <w:szCs w:val="18"/>
                <w:lang w:val="en-US" w:eastAsia="ja-JP"/>
              </w:rPr>
              <w:t>1,050.00</w:t>
            </w:r>
          </w:p>
        </w:tc>
        <w:tc>
          <w:tcPr>
            <w:tcW w:w="2081" w:type="dxa"/>
            <w:tcBorders>
              <w:top w:val="nil"/>
              <w:left w:val="nil"/>
              <w:bottom w:val="single" w:sz="12" w:space="0" w:color="auto"/>
              <w:right w:val="single" w:sz="12" w:space="0" w:color="auto"/>
            </w:tcBorders>
          </w:tcPr>
          <w:p w14:paraId="62FCDF2B" w14:textId="77777777" w:rsidR="00100F69" w:rsidRPr="00B21B81" w:rsidRDefault="00100F69" w:rsidP="00B21B81">
            <w:pPr>
              <w:jc w:val="right"/>
              <w:rPr>
                <w:sz w:val="18"/>
                <w:szCs w:val="18"/>
                <w:lang w:val="en-US" w:eastAsia="ja-JP"/>
              </w:rPr>
            </w:pPr>
            <w:r w:rsidRPr="00B21B81">
              <w:rPr>
                <w:sz w:val="18"/>
                <w:szCs w:val="18"/>
                <w:lang w:val="en-US" w:eastAsia="ja-JP"/>
              </w:rPr>
              <w:t>December 31, 2024</w:t>
            </w:r>
          </w:p>
        </w:tc>
      </w:tr>
      <w:tr w:rsidR="00100F69" w:rsidRPr="00B21B81" w14:paraId="202470D7" w14:textId="77777777" w:rsidTr="00100F69">
        <w:trPr>
          <w:trHeight w:val="660"/>
        </w:trPr>
        <w:tc>
          <w:tcPr>
            <w:tcW w:w="2190" w:type="dxa"/>
            <w:tcBorders>
              <w:top w:val="nil"/>
              <w:left w:val="single" w:sz="12" w:space="0" w:color="auto"/>
              <w:bottom w:val="single" w:sz="12" w:space="0" w:color="auto"/>
              <w:right w:val="single" w:sz="12" w:space="0" w:color="auto"/>
            </w:tcBorders>
          </w:tcPr>
          <w:p w14:paraId="1ADDBA9B" w14:textId="77777777" w:rsidR="00100F69" w:rsidRPr="00B21B81" w:rsidRDefault="00100F69" w:rsidP="00B21B81">
            <w:pPr>
              <w:jc w:val="right"/>
              <w:rPr>
                <w:sz w:val="18"/>
                <w:szCs w:val="18"/>
                <w:lang w:val="en-US" w:eastAsia="ja-JP"/>
              </w:rPr>
            </w:pPr>
            <w:r w:rsidRPr="00B21B81">
              <w:rPr>
                <w:sz w:val="18"/>
                <w:szCs w:val="18"/>
                <w:lang w:val="en-US" w:eastAsia="ja-JP"/>
              </w:rPr>
              <w:t>Component 3: Demonstration projects</w:t>
            </w:r>
          </w:p>
        </w:tc>
        <w:tc>
          <w:tcPr>
            <w:tcW w:w="1364" w:type="dxa"/>
            <w:tcBorders>
              <w:top w:val="nil"/>
              <w:left w:val="nil"/>
              <w:bottom w:val="single" w:sz="12" w:space="0" w:color="auto"/>
              <w:right w:val="single" w:sz="12" w:space="0" w:color="auto"/>
            </w:tcBorders>
          </w:tcPr>
          <w:p w14:paraId="474C9DE8" w14:textId="77777777" w:rsidR="00100F69" w:rsidRPr="00B21B81" w:rsidRDefault="00100F69" w:rsidP="00B21B81">
            <w:pPr>
              <w:jc w:val="right"/>
              <w:rPr>
                <w:sz w:val="18"/>
                <w:szCs w:val="18"/>
                <w:lang w:val="en-US" w:eastAsia="ja-JP"/>
              </w:rPr>
            </w:pPr>
            <w:r w:rsidRPr="00B21B81">
              <w:rPr>
                <w:sz w:val="18"/>
                <w:szCs w:val="18"/>
                <w:lang w:val="en-US" w:eastAsia="ja-JP"/>
              </w:rPr>
              <w:t>10,000.00</w:t>
            </w:r>
          </w:p>
        </w:tc>
        <w:tc>
          <w:tcPr>
            <w:tcW w:w="1260" w:type="dxa"/>
            <w:tcBorders>
              <w:top w:val="nil"/>
              <w:left w:val="nil"/>
              <w:bottom w:val="single" w:sz="12" w:space="0" w:color="auto"/>
              <w:right w:val="single" w:sz="12" w:space="0" w:color="auto"/>
            </w:tcBorders>
          </w:tcPr>
          <w:p w14:paraId="61529FB3" w14:textId="77777777" w:rsidR="00100F69" w:rsidRPr="00B21B81" w:rsidRDefault="00100F69" w:rsidP="00B21B81">
            <w:pPr>
              <w:jc w:val="right"/>
              <w:rPr>
                <w:sz w:val="18"/>
                <w:szCs w:val="18"/>
                <w:lang w:val="en-US" w:eastAsia="ja-JP"/>
              </w:rPr>
            </w:pPr>
            <w:r w:rsidRPr="00B21B81">
              <w:rPr>
                <w:sz w:val="18"/>
                <w:szCs w:val="18"/>
                <w:lang w:val="en-US" w:eastAsia="ja-JP"/>
              </w:rPr>
              <w:t>0.00</w:t>
            </w:r>
          </w:p>
        </w:tc>
        <w:tc>
          <w:tcPr>
            <w:tcW w:w="1170" w:type="dxa"/>
            <w:tcBorders>
              <w:top w:val="nil"/>
              <w:left w:val="nil"/>
              <w:bottom w:val="single" w:sz="12" w:space="0" w:color="auto"/>
              <w:right w:val="single" w:sz="12" w:space="0" w:color="auto"/>
            </w:tcBorders>
          </w:tcPr>
          <w:p w14:paraId="39C58EBD" w14:textId="77777777" w:rsidR="00100F69" w:rsidRPr="00B21B81" w:rsidRDefault="00100F69" w:rsidP="00B21B81">
            <w:pPr>
              <w:jc w:val="right"/>
              <w:rPr>
                <w:sz w:val="18"/>
                <w:szCs w:val="18"/>
                <w:lang w:val="en-US" w:eastAsia="ja-JP"/>
              </w:rPr>
            </w:pPr>
            <w:r w:rsidRPr="00B21B81">
              <w:rPr>
                <w:sz w:val="18"/>
                <w:szCs w:val="18"/>
                <w:lang w:val="en-US" w:eastAsia="ja-JP"/>
              </w:rPr>
              <w:t>0.00</w:t>
            </w:r>
          </w:p>
        </w:tc>
        <w:tc>
          <w:tcPr>
            <w:tcW w:w="1350" w:type="dxa"/>
            <w:tcBorders>
              <w:top w:val="nil"/>
              <w:left w:val="nil"/>
              <w:bottom w:val="single" w:sz="12" w:space="0" w:color="auto"/>
              <w:right w:val="single" w:sz="12" w:space="0" w:color="auto"/>
            </w:tcBorders>
          </w:tcPr>
          <w:p w14:paraId="6B01B409" w14:textId="77777777" w:rsidR="00100F69" w:rsidRPr="00B21B81" w:rsidRDefault="00100F69" w:rsidP="00B21B81">
            <w:pPr>
              <w:jc w:val="right"/>
              <w:rPr>
                <w:sz w:val="18"/>
                <w:szCs w:val="18"/>
                <w:lang w:val="en-US" w:eastAsia="ja-JP"/>
              </w:rPr>
            </w:pPr>
            <w:r w:rsidRPr="00B21B81">
              <w:rPr>
                <w:sz w:val="18"/>
                <w:szCs w:val="18"/>
                <w:lang w:val="en-US" w:eastAsia="ja-JP"/>
              </w:rPr>
              <w:t>11,760.00</w:t>
            </w:r>
          </w:p>
        </w:tc>
        <w:tc>
          <w:tcPr>
            <w:tcW w:w="2081" w:type="dxa"/>
            <w:tcBorders>
              <w:top w:val="nil"/>
              <w:left w:val="nil"/>
              <w:bottom w:val="single" w:sz="12" w:space="0" w:color="auto"/>
              <w:right w:val="single" w:sz="12" w:space="0" w:color="auto"/>
            </w:tcBorders>
          </w:tcPr>
          <w:p w14:paraId="2138EE8E" w14:textId="77777777" w:rsidR="00100F69" w:rsidRPr="00B21B81" w:rsidRDefault="00100F69" w:rsidP="00B21B81">
            <w:pPr>
              <w:jc w:val="right"/>
              <w:rPr>
                <w:sz w:val="18"/>
                <w:szCs w:val="18"/>
                <w:lang w:val="en-US" w:eastAsia="ja-JP"/>
              </w:rPr>
            </w:pPr>
            <w:r w:rsidRPr="00B21B81">
              <w:rPr>
                <w:sz w:val="18"/>
                <w:szCs w:val="18"/>
                <w:lang w:val="en-US" w:eastAsia="ja-JP"/>
              </w:rPr>
              <w:t>December 31, 2024</w:t>
            </w:r>
          </w:p>
        </w:tc>
      </w:tr>
      <w:tr w:rsidR="00100F69" w:rsidRPr="00B21B81" w14:paraId="59DA6DE9" w14:textId="77777777" w:rsidTr="00100F69">
        <w:trPr>
          <w:trHeight w:val="888"/>
        </w:trPr>
        <w:tc>
          <w:tcPr>
            <w:tcW w:w="2190" w:type="dxa"/>
            <w:tcBorders>
              <w:top w:val="nil"/>
              <w:left w:val="single" w:sz="12" w:space="0" w:color="auto"/>
              <w:bottom w:val="single" w:sz="12" w:space="0" w:color="auto"/>
              <w:right w:val="single" w:sz="12" w:space="0" w:color="auto"/>
            </w:tcBorders>
          </w:tcPr>
          <w:p w14:paraId="3109A4E0" w14:textId="77777777" w:rsidR="00100F69" w:rsidRPr="00B21B81" w:rsidRDefault="00100F69" w:rsidP="00B21B81">
            <w:pPr>
              <w:jc w:val="right"/>
              <w:rPr>
                <w:sz w:val="18"/>
                <w:szCs w:val="18"/>
                <w:lang w:val="en-US" w:eastAsia="ja-JP"/>
              </w:rPr>
            </w:pPr>
            <w:r w:rsidRPr="00B21B81">
              <w:rPr>
                <w:sz w:val="18"/>
                <w:szCs w:val="18"/>
                <w:lang w:val="en-US" w:eastAsia="ja-JP"/>
              </w:rPr>
              <w:t>Component 4: Technical assistance to support good servicing practices in the refrigeration sector</w:t>
            </w:r>
          </w:p>
        </w:tc>
        <w:tc>
          <w:tcPr>
            <w:tcW w:w="1364" w:type="dxa"/>
            <w:tcBorders>
              <w:top w:val="nil"/>
              <w:left w:val="nil"/>
              <w:bottom w:val="single" w:sz="12" w:space="0" w:color="auto"/>
              <w:right w:val="single" w:sz="12" w:space="0" w:color="auto"/>
            </w:tcBorders>
          </w:tcPr>
          <w:p w14:paraId="5A06E4C3" w14:textId="77777777" w:rsidR="00100F69" w:rsidRPr="00B21B81" w:rsidRDefault="00100F69" w:rsidP="00B21B81">
            <w:pPr>
              <w:jc w:val="right"/>
              <w:rPr>
                <w:sz w:val="18"/>
                <w:szCs w:val="18"/>
                <w:lang w:val="en-US" w:eastAsia="ja-JP"/>
              </w:rPr>
            </w:pPr>
            <w:r w:rsidRPr="00B21B81">
              <w:rPr>
                <w:sz w:val="18"/>
                <w:szCs w:val="18"/>
                <w:lang w:val="en-US" w:eastAsia="ja-JP"/>
              </w:rPr>
              <w:t>73,600.00</w:t>
            </w:r>
          </w:p>
        </w:tc>
        <w:tc>
          <w:tcPr>
            <w:tcW w:w="1260" w:type="dxa"/>
            <w:tcBorders>
              <w:top w:val="nil"/>
              <w:left w:val="nil"/>
              <w:bottom w:val="single" w:sz="12" w:space="0" w:color="auto"/>
              <w:right w:val="single" w:sz="12" w:space="0" w:color="auto"/>
            </w:tcBorders>
          </w:tcPr>
          <w:p w14:paraId="5583004E" w14:textId="77777777" w:rsidR="00100F69" w:rsidRPr="00B21B81" w:rsidRDefault="00100F69" w:rsidP="00B21B81">
            <w:pPr>
              <w:jc w:val="right"/>
              <w:rPr>
                <w:sz w:val="18"/>
                <w:szCs w:val="18"/>
                <w:lang w:val="en-US" w:eastAsia="ja-JP"/>
              </w:rPr>
            </w:pPr>
            <w:r w:rsidRPr="00B21B81">
              <w:rPr>
                <w:sz w:val="18"/>
                <w:szCs w:val="18"/>
                <w:lang w:val="en-US" w:eastAsia="ja-JP"/>
              </w:rPr>
              <w:t>9,700.77</w:t>
            </w:r>
          </w:p>
        </w:tc>
        <w:tc>
          <w:tcPr>
            <w:tcW w:w="1170" w:type="dxa"/>
            <w:tcBorders>
              <w:top w:val="nil"/>
              <w:left w:val="nil"/>
              <w:bottom w:val="single" w:sz="12" w:space="0" w:color="auto"/>
              <w:right w:val="single" w:sz="12" w:space="0" w:color="auto"/>
            </w:tcBorders>
          </w:tcPr>
          <w:p w14:paraId="1DAF86A8" w14:textId="77777777" w:rsidR="00100F69" w:rsidRPr="00B21B81" w:rsidRDefault="00100F69" w:rsidP="00B21B81">
            <w:pPr>
              <w:jc w:val="right"/>
              <w:rPr>
                <w:sz w:val="18"/>
                <w:szCs w:val="18"/>
                <w:lang w:val="en-US" w:eastAsia="ja-JP"/>
              </w:rPr>
            </w:pPr>
            <w:r w:rsidRPr="00B21B81">
              <w:rPr>
                <w:sz w:val="18"/>
                <w:szCs w:val="18"/>
                <w:lang w:val="en-US" w:eastAsia="ja-JP"/>
              </w:rPr>
              <w:t>30,000.00</w:t>
            </w:r>
          </w:p>
        </w:tc>
        <w:tc>
          <w:tcPr>
            <w:tcW w:w="1350" w:type="dxa"/>
            <w:tcBorders>
              <w:top w:val="nil"/>
              <w:left w:val="nil"/>
              <w:bottom w:val="single" w:sz="12" w:space="0" w:color="auto"/>
              <w:right w:val="single" w:sz="12" w:space="0" w:color="auto"/>
            </w:tcBorders>
          </w:tcPr>
          <w:p w14:paraId="71CD9818" w14:textId="77777777" w:rsidR="00100F69" w:rsidRPr="00B21B81" w:rsidRDefault="00100F69" w:rsidP="00B21B81">
            <w:pPr>
              <w:jc w:val="right"/>
              <w:rPr>
                <w:sz w:val="18"/>
                <w:szCs w:val="18"/>
                <w:lang w:val="en-US" w:eastAsia="ja-JP"/>
              </w:rPr>
            </w:pPr>
            <w:r w:rsidRPr="00B21B81">
              <w:rPr>
                <w:sz w:val="18"/>
                <w:szCs w:val="18"/>
                <w:lang w:val="en-US" w:eastAsia="ja-JP"/>
              </w:rPr>
              <w:t>10,150.00</w:t>
            </w:r>
          </w:p>
        </w:tc>
        <w:tc>
          <w:tcPr>
            <w:tcW w:w="2081" w:type="dxa"/>
            <w:tcBorders>
              <w:top w:val="nil"/>
              <w:left w:val="nil"/>
              <w:bottom w:val="single" w:sz="12" w:space="0" w:color="auto"/>
              <w:right w:val="single" w:sz="12" w:space="0" w:color="auto"/>
            </w:tcBorders>
          </w:tcPr>
          <w:p w14:paraId="72A25D19" w14:textId="77777777" w:rsidR="00100F69" w:rsidRPr="00B21B81" w:rsidRDefault="00100F69" w:rsidP="00B21B81">
            <w:pPr>
              <w:jc w:val="right"/>
              <w:rPr>
                <w:sz w:val="18"/>
                <w:szCs w:val="18"/>
                <w:lang w:val="en-US" w:eastAsia="ja-JP"/>
              </w:rPr>
            </w:pPr>
            <w:r w:rsidRPr="00B21B81">
              <w:rPr>
                <w:sz w:val="18"/>
                <w:szCs w:val="18"/>
                <w:lang w:val="en-US" w:eastAsia="ja-JP"/>
              </w:rPr>
              <w:t>December 31, 2024</w:t>
            </w:r>
          </w:p>
        </w:tc>
      </w:tr>
      <w:tr w:rsidR="00100F69" w:rsidRPr="00B21B81" w14:paraId="572CC66C" w14:textId="77777777" w:rsidTr="00100F69">
        <w:trPr>
          <w:trHeight w:val="600"/>
        </w:trPr>
        <w:tc>
          <w:tcPr>
            <w:tcW w:w="2190" w:type="dxa"/>
            <w:tcBorders>
              <w:top w:val="nil"/>
              <w:left w:val="single" w:sz="12" w:space="0" w:color="auto"/>
              <w:bottom w:val="single" w:sz="12" w:space="0" w:color="auto"/>
              <w:right w:val="single" w:sz="12" w:space="0" w:color="auto"/>
            </w:tcBorders>
          </w:tcPr>
          <w:p w14:paraId="2BB757CA" w14:textId="77777777" w:rsidR="00100F69" w:rsidRPr="00B21B81" w:rsidRDefault="00100F69" w:rsidP="00B21B81">
            <w:pPr>
              <w:jc w:val="right"/>
              <w:rPr>
                <w:sz w:val="18"/>
                <w:szCs w:val="18"/>
                <w:lang w:val="en-US" w:eastAsia="ja-JP"/>
              </w:rPr>
            </w:pPr>
            <w:r w:rsidRPr="00B21B81">
              <w:rPr>
                <w:sz w:val="18"/>
                <w:szCs w:val="18"/>
                <w:lang w:val="en-US" w:eastAsia="ja-JP"/>
              </w:rPr>
              <w:t>Component 5: Project implementation, monitoring and evaluation</w:t>
            </w:r>
          </w:p>
        </w:tc>
        <w:tc>
          <w:tcPr>
            <w:tcW w:w="1364" w:type="dxa"/>
            <w:tcBorders>
              <w:top w:val="nil"/>
              <w:left w:val="nil"/>
              <w:bottom w:val="single" w:sz="12" w:space="0" w:color="auto"/>
              <w:right w:val="single" w:sz="12" w:space="0" w:color="auto"/>
            </w:tcBorders>
          </w:tcPr>
          <w:p w14:paraId="33AFB98C" w14:textId="77777777" w:rsidR="00100F69" w:rsidRPr="00B21B81" w:rsidRDefault="00100F69" w:rsidP="00B21B81">
            <w:pPr>
              <w:jc w:val="right"/>
              <w:rPr>
                <w:sz w:val="18"/>
                <w:szCs w:val="18"/>
                <w:lang w:val="en-US" w:eastAsia="ja-JP"/>
              </w:rPr>
            </w:pPr>
            <w:r w:rsidRPr="00B21B81">
              <w:rPr>
                <w:sz w:val="18"/>
                <w:szCs w:val="18"/>
                <w:lang w:val="en-US" w:eastAsia="ja-JP"/>
              </w:rPr>
              <w:t>16,989.00</w:t>
            </w:r>
          </w:p>
        </w:tc>
        <w:tc>
          <w:tcPr>
            <w:tcW w:w="1260" w:type="dxa"/>
            <w:tcBorders>
              <w:top w:val="nil"/>
              <w:left w:val="nil"/>
              <w:bottom w:val="single" w:sz="12" w:space="0" w:color="auto"/>
              <w:right w:val="single" w:sz="12" w:space="0" w:color="auto"/>
            </w:tcBorders>
          </w:tcPr>
          <w:p w14:paraId="776E0F8A" w14:textId="77777777" w:rsidR="00100F69" w:rsidRPr="00B21B81" w:rsidRDefault="00100F69" w:rsidP="00B21B81">
            <w:pPr>
              <w:jc w:val="right"/>
              <w:rPr>
                <w:sz w:val="18"/>
                <w:szCs w:val="18"/>
                <w:lang w:val="en-US" w:eastAsia="ja-JP"/>
              </w:rPr>
            </w:pPr>
            <w:r w:rsidRPr="00B21B81">
              <w:rPr>
                <w:sz w:val="18"/>
                <w:szCs w:val="18"/>
                <w:lang w:val="en-US" w:eastAsia="ja-JP"/>
              </w:rPr>
              <w:t>25,712.33</w:t>
            </w:r>
          </w:p>
        </w:tc>
        <w:tc>
          <w:tcPr>
            <w:tcW w:w="1170" w:type="dxa"/>
            <w:tcBorders>
              <w:top w:val="nil"/>
              <w:left w:val="nil"/>
              <w:bottom w:val="single" w:sz="12" w:space="0" w:color="auto"/>
              <w:right w:val="single" w:sz="12" w:space="0" w:color="auto"/>
            </w:tcBorders>
          </w:tcPr>
          <w:p w14:paraId="54571F9C" w14:textId="77777777" w:rsidR="00100F69" w:rsidRPr="00B21B81" w:rsidRDefault="00100F69" w:rsidP="00B21B81">
            <w:pPr>
              <w:jc w:val="right"/>
              <w:rPr>
                <w:sz w:val="18"/>
                <w:szCs w:val="18"/>
                <w:lang w:val="en-US" w:eastAsia="ja-JP"/>
              </w:rPr>
            </w:pPr>
            <w:r w:rsidRPr="00B21B81">
              <w:rPr>
                <w:sz w:val="18"/>
                <w:szCs w:val="18"/>
                <w:lang w:val="en-US" w:eastAsia="ja-JP"/>
              </w:rPr>
              <w:t>0.00</w:t>
            </w:r>
          </w:p>
        </w:tc>
        <w:tc>
          <w:tcPr>
            <w:tcW w:w="1350" w:type="dxa"/>
            <w:tcBorders>
              <w:top w:val="nil"/>
              <w:left w:val="nil"/>
              <w:bottom w:val="single" w:sz="12" w:space="0" w:color="auto"/>
              <w:right w:val="single" w:sz="12" w:space="0" w:color="auto"/>
            </w:tcBorders>
          </w:tcPr>
          <w:p w14:paraId="2D6494E4" w14:textId="77777777" w:rsidR="00100F69" w:rsidRPr="00B21B81" w:rsidRDefault="00100F69" w:rsidP="00B21B81">
            <w:pPr>
              <w:jc w:val="right"/>
              <w:rPr>
                <w:sz w:val="18"/>
                <w:szCs w:val="18"/>
                <w:lang w:val="en-US" w:eastAsia="ja-JP"/>
              </w:rPr>
            </w:pPr>
            <w:r w:rsidRPr="00B21B81">
              <w:rPr>
                <w:sz w:val="18"/>
                <w:szCs w:val="18"/>
                <w:lang w:val="en-US" w:eastAsia="ja-JP"/>
              </w:rPr>
              <w:t>0.00</w:t>
            </w:r>
          </w:p>
        </w:tc>
        <w:tc>
          <w:tcPr>
            <w:tcW w:w="2081" w:type="dxa"/>
            <w:tcBorders>
              <w:top w:val="nil"/>
              <w:left w:val="nil"/>
              <w:bottom w:val="single" w:sz="12" w:space="0" w:color="auto"/>
              <w:right w:val="single" w:sz="12" w:space="0" w:color="auto"/>
            </w:tcBorders>
          </w:tcPr>
          <w:p w14:paraId="43F2DD9E" w14:textId="77777777" w:rsidR="00100F69" w:rsidRPr="00B21B81" w:rsidRDefault="00100F69" w:rsidP="00B21B81">
            <w:pPr>
              <w:jc w:val="right"/>
              <w:rPr>
                <w:sz w:val="18"/>
                <w:szCs w:val="18"/>
                <w:lang w:val="en-US" w:eastAsia="ja-JP"/>
              </w:rPr>
            </w:pPr>
            <w:r w:rsidRPr="00B21B81">
              <w:rPr>
                <w:sz w:val="18"/>
                <w:szCs w:val="18"/>
                <w:lang w:val="en-US" w:eastAsia="ja-JP"/>
              </w:rPr>
              <w:t>December 31, 2024</w:t>
            </w:r>
          </w:p>
        </w:tc>
      </w:tr>
      <w:tr w:rsidR="00100F69" w:rsidRPr="00B21B81" w14:paraId="7905F873" w14:textId="77777777" w:rsidTr="00100F69">
        <w:trPr>
          <w:trHeight w:val="300"/>
        </w:trPr>
        <w:tc>
          <w:tcPr>
            <w:tcW w:w="2190" w:type="dxa"/>
            <w:tcBorders>
              <w:top w:val="nil"/>
              <w:left w:val="single" w:sz="12" w:space="0" w:color="auto"/>
              <w:bottom w:val="single" w:sz="12" w:space="0" w:color="auto"/>
              <w:right w:val="single" w:sz="12" w:space="0" w:color="auto"/>
            </w:tcBorders>
          </w:tcPr>
          <w:p w14:paraId="6BC4F6C5" w14:textId="77777777" w:rsidR="00100F69" w:rsidRPr="00B21B81" w:rsidRDefault="00100F69" w:rsidP="00B21B81">
            <w:pPr>
              <w:jc w:val="right"/>
              <w:rPr>
                <w:sz w:val="18"/>
                <w:szCs w:val="18"/>
                <w:lang w:val="en-US" w:eastAsia="ja-JP"/>
              </w:rPr>
            </w:pPr>
            <w:r w:rsidRPr="00B21B81">
              <w:rPr>
                <w:sz w:val="18"/>
                <w:szCs w:val="18"/>
                <w:lang w:val="en-US" w:eastAsia="ja-JP"/>
              </w:rPr>
              <w:t>Total</w:t>
            </w:r>
          </w:p>
        </w:tc>
        <w:tc>
          <w:tcPr>
            <w:tcW w:w="1364" w:type="dxa"/>
            <w:tcBorders>
              <w:top w:val="nil"/>
              <w:left w:val="nil"/>
              <w:bottom w:val="single" w:sz="12" w:space="0" w:color="auto"/>
              <w:right w:val="single" w:sz="12" w:space="0" w:color="auto"/>
            </w:tcBorders>
          </w:tcPr>
          <w:p w14:paraId="7E3BE617" w14:textId="77777777" w:rsidR="00100F69" w:rsidRPr="00B21B81" w:rsidRDefault="00100F69" w:rsidP="00B21B81">
            <w:pPr>
              <w:jc w:val="right"/>
              <w:rPr>
                <w:sz w:val="18"/>
                <w:szCs w:val="18"/>
                <w:lang w:val="en-US" w:eastAsia="ja-JP"/>
              </w:rPr>
            </w:pPr>
            <w:r w:rsidRPr="00B21B81">
              <w:rPr>
                <w:sz w:val="18"/>
                <w:szCs w:val="18"/>
                <w:lang w:val="en-US" w:eastAsia="ja-JP"/>
              </w:rPr>
              <w:t>190,839.00</w:t>
            </w:r>
          </w:p>
        </w:tc>
        <w:tc>
          <w:tcPr>
            <w:tcW w:w="1260" w:type="dxa"/>
            <w:tcBorders>
              <w:top w:val="nil"/>
              <w:left w:val="nil"/>
              <w:bottom w:val="single" w:sz="12" w:space="0" w:color="auto"/>
              <w:right w:val="single" w:sz="12" w:space="0" w:color="auto"/>
            </w:tcBorders>
          </w:tcPr>
          <w:p w14:paraId="5AF6EA61" w14:textId="77777777" w:rsidR="00100F69" w:rsidRPr="00B21B81" w:rsidRDefault="00100F69" w:rsidP="00B21B81">
            <w:pPr>
              <w:jc w:val="right"/>
              <w:rPr>
                <w:sz w:val="18"/>
                <w:szCs w:val="18"/>
                <w:lang w:val="en-US" w:eastAsia="ja-JP"/>
              </w:rPr>
            </w:pPr>
            <w:r w:rsidRPr="00B21B81">
              <w:rPr>
                <w:sz w:val="18"/>
                <w:szCs w:val="18"/>
                <w:lang w:val="en-US" w:eastAsia="ja-JP"/>
              </w:rPr>
              <w:t>125,604.83</w:t>
            </w:r>
          </w:p>
        </w:tc>
        <w:tc>
          <w:tcPr>
            <w:tcW w:w="1170" w:type="dxa"/>
            <w:tcBorders>
              <w:top w:val="nil"/>
              <w:left w:val="nil"/>
              <w:bottom w:val="single" w:sz="12" w:space="0" w:color="auto"/>
              <w:right w:val="single" w:sz="12" w:space="0" w:color="auto"/>
            </w:tcBorders>
          </w:tcPr>
          <w:p w14:paraId="4D8A65FA" w14:textId="77777777" w:rsidR="00100F69" w:rsidRPr="00B21B81" w:rsidRDefault="00100F69" w:rsidP="00B21B81">
            <w:pPr>
              <w:jc w:val="right"/>
              <w:rPr>
                <w:sz w:val="18"/>
                <w:szCs w:val="18"/>
                <w:lang w:val="en-US" w:eastAsia="ja-JP"/>
              </w:rPr>
            </w:pPr>
            <w:r w:rsidRPr="00B21B81">
              <w:rPr>
                <w:sz w:val="18"/>
                <w:szCs w:val="18"/>
                <w:lang w:val="en-US" w:eastAsia="ja-JP"/>
              </w:rPr>
              <w:t>32,565.00</w:t>
            </w:r>
          </w:p>
        </w:tc>
        <w:tc>
          <w:tcPr>
            <w:tcW w:w="1350" w:type="dxa"/>
            <w:tcBorders>
              <w:top w:val="nil"/>
              <w:left w:val="nil"/>
              <w:bottom w:val="single" w:sz="12" w:space="0" w:color="auto"/>
              <w:right w:val="single" w:sz="12" w:space="0" w:color="auto"/>
            </w:tcBorders>
          </w:tcPr>
          <w:p w14:paraId="51770063" w14:textId="77DA4E35" w:rsidR="00100F69" w:rsidRPr="00B21B81" w:rsidRDefault="00100F69" w:rsidP="00B21B81">
            <w:pPr>
              <w:jc w:val="right"/>
              <w:rPr>
                <w:sz w:val="18"/>
                <w:szCs w:val="18"/>
                <w:lang w:val="en-US" w:eastAsia="ja-JP"/>
              </w:rPr>
            </w:pPr>
            <w:r w:rsidRPr="00B21B81">
              <w:rPr>
                <w:sz w:val="18"/>
                <w:szCs w:val="18"/>
                <w:lang w:val="en-US" w:eastAsia="ja-JP"/>
              </w:rPr>
              <w:t>32</w:t>
            </w:r>
            <w:r w:rsidR="00C07FC6">
              <w:rPr>
                <w:sz w:val="18"/>
                <w:szCs w:val="18"/>
                <w:lang w:val="en-US" w:eastAsia="ja-JP"/>
              </w:rPr>
              <w:t>,</w:t>
            </w:r>
            <w:r w:rsidRPr="00B21B81">
              <w:rPr>
                <w:sz w:val="18"/>
                <w:szCs w:val="18"/>
                <w:lang w:val="en-US" w:eastAsia="ja-JP"/>
              </w:rPr>
              <w:t>669.17</w:t>
            </w:r>
          </w:p>
        </w:tc>
        <w:tc>
          <w:tcPr>
            <w:tcW w:w="2081" w:type="dxa"/>
            <w:tcBorders>
              <w:top w:val="nil"/>
              <w:left w:val="nil"/>
              <w:bottom w:val="single" w:sz="12" w:space="0" w:color="auto"/>
              <w:right w:val="single" w:sz="12" w:space="0" w:color="auto"/>
            </w:tcBorders>
          </w:tcPr>
          <w:p w14:paraId="5FE8976C" w14:textId="77777777" w:rsidR="00100F69" w:rsidRPr="00B21B81" w:rsidRDefault="00100F69" w:rsidP="00B21B81">
            <w:pPr>
              <w:jc w:val="right"/>
              <w:rPr>
                <w:sz w:val="18"/>
                <w:szCs w:val="18"/>
                <w:lang w:val="en-US" w:eastAsia="ja-JP"/>
              </w:rPr>
            </w:pPr>
          </w:p>
        </w:tc>
      </w:tr>
    </w:tbl>
    <w:p w14:paraId="729BCDCD" w14:textId="77777777" w:rsidR="00B21B81" w:rsidRPr="00B21B81" w:rsidRDefault="00B21B81" w:rsidP="00B21B81">
      <w:pPr>
        <w:jc w:val="right"/>
        <w:rPr>
          <w:sz w:val="18"/>
          <w:szCs w:val="18"/>
          <w:lang w:val="en-US" w:eastAsia="ja-JP"/>
        </w:rPr>
      </w:pPr>
    </w:p>
    <w:p w14:paraId="6B61DE79" w14:textId="77777777" w:rsidR="00B21B81" w:rsidRPr="00B21B81" w:rsidRDefault="00B21B81" w:rsidP="00B21B81">
      <w:pPr>
        <w:rPr>
          <w:rFonts w:eastAsia="SimSun"/>
          <w:lang w:eastAsia="zh-CN"/>
        </w:rPr>
      </w:pPr>
    </w:p>
    <w:p w14:paraId="1DF147BA" w14:textId="77777777" w:rsidR="000132D0" w:rsidRPr="00664CC7" w:rsidRDefault="000132D0" w:rsidP="00664CC7">
      <w:pPr>
        <w:rPr>
          <w:color w:val="000000"/>
          <w:lang w:val="en-CA"/>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810"/>
      </w:tblGrid>
      <w:tr w:rsidR="000E78AF" w:rsidRPr="00664CC7" w14:paraId="6419F314" w14:textId="77777777" w:rsidTr="00301379">
        <w:tc>
          <w:tcPr>
            <w:tcW w:w="9810" w:type="dxa"/>
            <w:shd w:val="pct15" w:color="auto" w:fill="auto"/>
          </w:tcPr>
          <w:p w14:paraId="4997EADD" w14:textId="54088D18" w:rsidR="000E78AF" w:rsidRPr="00664CC7" w:rsidRDefault="000E78AF" w:rsidP="00664CC7">
            <w:pPr>
              <w:keepNext/>
              <w:tabs>
                <w:tab w:val="left" w:pos="720"/>
                <w:tab w:val="right" w:pos="9360"/>
              </w:tabs>
              <w:rPr>
                <w:color w:val="000000"/>
                <w:lang w:val="en-CA"/>
              </w:rPr>
            </w:pPr>
            <w:r w:rsidRPr="00664CC7">
              <w:rPr>
                <w:rFonts w:eastAsia="SimSun"/>
                <w:b/>
                <w:color w:val="000000"/>
                <w:lang w:val="en-CA" w:eastAsia="zh-CN"/>
              </w:rPr>
              <w:t>II.</w:t>
            </w:r>
            <w:r w:rsidRPr="00664CC7">
              <w:rPr>
                <w:rFonts w:eastAsia="SimSun"/>
                <w:b/>
                <w:color w:val="000000"/>
                <w:lang w:val="en-CA" w:eastAsia="zh-CN"/>
              </w:rPr>
              <w:tab/>
              <w:t>VERIFICATION REPORT</w:t>
            </w:r>
            <w:r w:rsidRPr="00664CC7">
              <w:rPr>
                <w:rFonts w:eastAsia="SimSun"/>
                <w:b/>
                <w:color w:val="000000"/>
                <w:lang w:val="en-CA" w:eastAsia="zh-CN"/>
              </w:rPr>
              <w:tab/>
            </w:r>
          </w:p>
        </w:tc>
      </w:tr>
    </w:tbl>
    <w:p w14:paraId="528F3B74" w14:textId="77777777" w:rsidR="000E78AF" w:rsidRPr="00664CC7" w:rsidRDefault="000E78AF" w:rsidP="00664CC7">
      <w:pPr>
        <w:pStyle w:val="0Heading0"/>
        <w:keepNext/>
        <w:rPr>
          <w:rFonts w:eastAsia="SimSun"/>
          <w:color w:val="000000"/>
          <w:lang w:val="en-CA" w:eastAsia="zh-CN"/>
        </w:rPr>
      </w:pPr>
    </w:p>
    <w:p w14:paraId="3B7C5C04" w14:textId="77777777" w:rsidR="00C40835" w:rsidRDefault="009208D7" w:rsidP="009208D7">
      <w:pPr>
        <w:autoSpaceDE w:val="0"/>
        <w:autoSpaceDN w:val="0"/>
        <w:adjustRightInd w:val="0"/>
      </w:pPr>
      <w:r>
        <w:t>Verification report on</w:t>
      </w:r>
      <w:r w:rsidRPr="009208D7">
        <w:t xml:space="preserve"> the objectives and goals reached within the HCFC Phase-out Management Plan (HPMP) </w:t>
      </w:r>
    </w:p>
    <w:p w14:paraId="7A43764A" w14:textId="2B0325A2" w:rsidR="009208D7" w:rsidRPr="009208D7" w:rsidRDefault="009208D7" w:rsidP="009208D7">
      <w:pPr>
        <w:autoSpaceDE w:val="0"/>
        <w:autoSpaceDN w:val="0"/>
        <w:adjustRightInd w:val="0"/>
      </w:pPr>
      <w:r w:rsidRPr="009208D7">
        <w:t>Stage-I Tranche III and IV in Georgia (2018-2022)</w:t>
      </w:r>
      <w:r w:rsidR="00C40835">
        <w:t xml:space="preserve"> was developed and submitted </w:t>
      </w:r>
      <w:r w:rsidR="00C07FC6">
        <w:t>in</w:t>
      </w:r>
      <w:r w:rsidR="00C40835">
        <w:t xml:space="preserve"> March 2024.</w:t>
      </w:r>
      <w:r w:rsidR="00AD4AD3">
        <w:t xml:space="preserve"> (See Annex</w:t>
      </w:r>
      <w:r w:rsidR="001E3ED8">
        <w:t xml:space="preserve"> </w:t>
      </w:r>
      <w:proofErr w:type="gramStart"/>
      <w:r w:rsidR="009A0AC3">
        <w:t>VI</w:t>
      </w:r>
      <w:r w:rsidR="00AD4AD3">
        <w:t xml:space="preserve"> )</w:t>
      </w:r>
      <w:proofErr w:type="gramEnd"/>
    </w:p>
    <w:p w14:paraId="421E14C1" w14:textId="091DF7B6" w:rsidR="000B041E" w:rsidRPr="009208D7" w:rsidRDefault="000B041E" w:rsidP="009208D7">
      <w:pPr>
        <w:keepNext/>
        <w:spacing w:after="240"/>
        <w:rPr>
          <w:rFonts w:eastAsia="SimSun"/>
          <w:lang w:val="en-US" w:eastAsia="zh-CN"/>
        </w:rPr>
      </w:pPr>
    </w:p>
    <w:p w14:paraId="2BB6E410" w14:textId="77777777" w:rsidR="00301379" w:rsidRPr="000B041E" w:rsidRDefault="00301379" w:rsidP="00664CC7">
      <w:pPr>
        <w:pStyle w:val="0Heading0"/>
        <w:rPr>
          <w:rFonts w:eastAsia="SimSun"/>
          <w:color w:val="00000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68"/>
      </w:tblGrid>
      <w:tr w:rsidR="00662466" w:rsidRPr="00662466" w14:paraId="1838F90F" w14:textId="77777777" w:rsidTr="003F4572">
        <w:tc>
          <w:tcPr>
            <w:tcW w:w="9468" w:type="dxa"/>
            <w:shd w:val="pct15" w:color="auto" w:fill="auto"/>
          </w:tcPr>
          <w:p w14:paraId="560EFE27" w14:textId="51E1A947" w:rsidR="000E78AF" w:rsidRPr="00662466" w:rsidRDefault="000E78AF" w:rsidP="00664CC7">
            <w:pPr>
              <w:keepNext/>
              <w:keepLines/>
              <w:tabs>
                <w:tab w:val="left" w:pos="720"/>
                <w:tab w:val="right" w:pos="9360"/>
              </w:tabs>
              <w:rPr>
                <w:lang w:val="fr-CA"/>
              </w:rPr>
            </w:pPr>
            <w:r w:rsidRPr="00662466">
              <w:rPr>
                <w:rFonts w:eastAsia="SimSun"/>
                <w:b/>
                <w:lang w:val="fr-CA" w:eastAsia="zh-CN"/>
              </w:rPr>
              <w:t>III.</w:t>
            </w:r>
            <w:r w:rsidRPr="00662466">
              <w:rPr>
                <w:rFonts w:eastAsia="SimSun"/>
                <w:b/>
                <w:lang w:val="fr-CA" w:eastAsia="zh-CN"/>
              </w:rPr>
              <w:tab/>
              <w:t>TRANCHE IMPLEMENTATION PLAN</w:t>
            </w:r>
            <w:r w:rsidRPr="00662466">
              <w:rPr>
                <w:rFonts w:eastAsia="SimSun"/>
                <w:b/>
                <w:lang w:val="fr-CA" w:eastAsia="zh-CN"/>
              </w:rPr>
              <w:tab/>
            </w:r>
          </w:p>
        </w:tc>
      </w:tr>
    </w:tbl>
    <w:p w14:paraId="1D8349CA" w14:textId="77777777" w:rsidR="00915B56" w:rsidRPr="00662466" w:rsidRDefault="00915B56" w:rsidP="00664CC7">
      <w:pPr>
        <w:keepNext/>
        <w:keepLines/>
        <w:rPr>
          <w:rFonts w:eastAsia="SimSun"/>
          <w:lang w:val="en-CA" w:eastAsia="zh-CN"/>
        </w:rPr>
      </w:pPr>
    </w:p>
    <w:p w14:paraId="414A987D" w14:textId="42E6D2CB" w:rsidR="00915B56" w:rsidRDefault="000E78AF" w:rsidP="00664CC7">
      <w:pPr>
        <w:widowControl w:val="0"/>
        <w:autoSpaceDE w:val="0"/>
        <w:autoSpaceDN w:val="0"/>
        <w:adjustRightInd w:val="0"/>
        <w:rPr>
          <w:rFonts w:eastAsia="SimSun"/>
          <w:color w:val="000000" w:themeColor="text1"/>
          <w:lang w:eastAsia="zh-CN"/>
        </w:rPr>
      </w:pPr>
      <w:r w:rsidRPr="00664CC7">
        <w:rPr>
          <w:rFonts w:eastAsia="SimSun"/>
          <w:color w:val="000000" w:themeColor="text1"/>
          <w:lang w:eastAsia="zh-CN"/>
        </w:rPr>
        <w:t xml:space="preserve">The overarching strategy for </w:t>
      </w:r>
      <w:r w:rsidR="00ED4699">
        <w:rPr>
          <w:rFonts w:eastAsia="SimSun"/>
          <w:color w:val="000000" w:themeColor="text1"/>
          <w:lang w:eastAsia="zh-CN"/>
        </w:rPr>
        <w:t>Georgia</w:t>
      </w:r>
      <w:r w:rsidRPr="00664CC7">
        <w:rPr>
          <w:rFonts w:eastAsia="SimSun"/>
          <w:color w:val="000000" w:themeColor="text1"/>
          <w:lang w:eastAsia="zh-CN"/>
        </w:rPr>
        <w:t xml:space="preserve"> is to further strengthen the implementation and enforcement capacities of its national institutional and legal framework for the implementation of the Montreal Protocol. </w:t>
      </w:r>
      <w:r w:rsidR="00ED4699">
        <w:rPr>
          <w:rFonts w:eastAsia="SimSun"/>
          <w:color w:val="000000" w:themeColor="text1"/>
          <w:lang w:eastAsia="zh-CN"/>
        </w:rPr>
        <w:t>Georgia</w:t>
      </w:r>
      <w:r w:rsidR="00E94229">
        <w:rPr>
          <w:rFonts w:eastAsia="SimSun"/>
          <w:color w:val="000000" w:themeColor="text1"/>
          <w:lang w:eastAsia="zh-CN"/>
        </w:rPr>
        <w:t xml:space="preserve"> </w:t>
      </w:r>
      <w:r w:rsidRPr="00664CC7">
        <w:rPr>
          <w:rFonts w:eastAsia="SimSun"/>
          <w:color w:val="000000" w:themeColor="text1"/>
          <w:lang w:eastAsia="zh-CN"/>
        </w:rPr>
        <w:t xml:space="preserve">has been on the right track in aligning national legislation with international conventions and requirements including the </w:t>
      </w:r>
      <w:r w:rsidR="00133D02">
        <w:rPr>
          <w:rFonts w:eastAsia="SimSun"/>
          <w:color w:val="000000" w:themeColor="text1"/>
          <w:lang w:eastAsia="zh-CN"/>
        </w:rPr>
        <w:t>implementation</w:t>
      </w:r>
      <w:r w:rsidR="00915B56" w:rsidRPr="00664CC7">
        <w:rPr>
          <w:rFonts w:eastAsia="SimSun"/>
          <w:color w:val="000000" w:themeColor="text1"/>
          <w:lang w:eastAsia="zh-CN"/>
        </w:rPr>
        <w:t xml:space="preserve"> of the Kigali Amendment.</w:t>
      </w:r>
    </w:p>
    <w:p w14:paraId="444F2955" w14:textId="77777777" w:rsidR="000E78AF" w:rsidRDefault="000E78AF" w:rsidP="00664CC7">
      <w:pPr>
        <w:widowControl w:val="0"/>
        <w:autoSpaceDE w:val="0"/>
        <w:autoSpaceDN w:val="0"/>
        <w:adjustRightInd w:val="0"/>
        <w:rPr>
          <w:rFonts w:eastAsia="SimSun"/>
          <w:color w:val="000000" w:themeColor="text1"/>
          <w:lang w:eastAsia="zh-CN"/>
        </w:rPr>
      </w:pPr>
    </w:p>
    <w:p w14:paraId="015E60AA" w14:textId="77777777" w:rsidR="00F556AD" w:rsidRPr="00664CC7" w:rsidRDefault="00F556AD" w:rsidP="00664CC7">
      <w:pPr>
        <w:widowControl w:val="0"/>
        <w:autoSpaceDE w:val="0"/>
        <w:autoSpaceDN w:val="0"/>
        <w:adjustRightInd w:val="0"/>
        <w:rPr>
          <w:rFonts w:eastAsia="SimSun"/>
          <w:color w:val="000000" w:themeColor="text1"/>
          <w:lang w:eastAsia="zh-CN"/>
        </w:rPr>
      </w:pPr>
    </w:p>
    <w:p w14:paraId="2BF18C6E" w14:textId="71844C46" w:rsidR="000E78AF" w:rsidRDefault="00915B56" w:rsidP="00664CC7">
      <w:pPr>
        <w:widowControl w:val="0"/>
        <w:autoSpaceDE w:val="0"/>
        <w:autoSpaceDN w:val="0"/>
        <w:adjustRightInd w:val="0"/>
        <w:rPr>
          <w:rFonts w:eastAsia="SimSun"/>
          <w:b/>
          <w:bCs/>
          <w:color w:val="000000" w:themeColor="text1"/>
          <w:lang w:eastAsia="zh-CN"/>
        </w:rPr>
      </w:pPr>
      <w:r w:rsidRPr="00664CC7">
        <w:rPr>
          <w:rFonts w:eastAsia="SimSun"/>
          <w:b/>
          <w:bCs/>
          <w:color w:val="000000" w:themeColor="text1"/>
          <w:lang w:eastAsia="zh-CN"/>
        </w:rPr>
        <w:t>I</w:t>
      </w:r>
      <w:r w:rsidR="000E78AF" w:rsidRPr="00664CC7">
        <w:rPr>
          <w:rFonts w:eastAsia="SimSun"/>
          <w:b/>
          <w:bCs/>
          <w:color w:val="000000" w:themeColor="text1"/>
          <w:lang w:eastAsia="zh-CN"/>
        </w:rPr>
        <w:t>mplementation</w:t>
      </w:r>
      <w:r w:rsidRPr="00664CC7">
        <w:rPr>
          <w:rFonts w:eastAsia="SimSun"/>
          <w:b/>
          <w:bCs/>
          <w:color w:val="000000" w:themeColor="text1"/>
          <w:lang w:eastAsia="zh-CN"/>
        </w:rPr>
        <w:t xml:space="preserve"> status</w:t>
      </w:r>
      <w:r w:rsidR="000E78AF" w:rsidRPr="00664CC7">
        <w:rPr>
          <w:rFonts w:eastAsia="SimSun"/>
          <w:b/>
          <w:bCs/>
          <w:color w:val="000000" w:themeColor="text1"/>
          <w:lang w:eastAsia="zh-CN"/>
        </w:rPr>
        <w:t xml:space="preserve"> of Stage </w:t>
      </w:r>
      <w:r w:rsidR="00954F05">
        <w:rPr>
          <w:rFonts w:eastAsia="SimSun"/>
          <w:b/>
          <w:bCs/>
          <w:color w:val="000000" w:themeColor="text1"/>
          <w:lang w:eastAsia="zh-CN"/>
        </w:rPr>
        <w:t>II Tranche 1</w:t>
      </w:r>
      <w:r w:rsidRPr="00664CC7">
        <w:rPr>
          <w:rFonts w:eastAsia="SimSun"/>
          <w:b/>
          <w:bCs/>
          <w:color w:val="000000" w:themeColor="text1"/>
          <w:lang w:eastAsia="zh-CN"/>
        </w:rPr>
        <w:t>:</w:t>
      </w:r>
    </w:p>
    <w:p w14:paraId="550E264D" w14:textId="77777777" w:rsidR="003842E6" w:rsidRPr="00664CC7" w:rsidRDefault="003842E6" w:rsidP="00664CC7">
      <w:pPr>
        <w:widowControl w:val="0"/>
        <w:autoSpaceDE w:val="0"/>
        <w:autoSpaceDN w:val="0"/>
        <w:adjustRightInd w:val="0"/>
        <w:rPr>
          <w:rFonts w:eastAsia="SimSun"/>
          <w:b/>
          <w:bCs/>
          <w:color w:val="000000" w:themeColor="text1"/>
          <w:lang w:eastAsia="zh-CN"/>
        </w:rPr>
      </w:pPr>
    </w:p>
    <w:p w14:paraId="3672645C" w14:textId="32C78494" w:rsidR="00F556AD" w:rsidRPr="00F556AD" w:rsidRDefault="00DC7035" w:rsidP="00664CC7">
      <w:pPr>
        <w:widowControl w:val="0"/>
        <w:autoSpaceDE w:val="0"/>
        <w:autoSpaceDN w:val="0"/>
        <w:adjustRightInd w:val="0"/>
        <w:rPr>
          <w:rFonts w:eastAsia="SimSun"/>
          <w:color w:val="000000" w:themeColor="text1"/>
          <w:lang w:eastAsia="zh-CN"/>
        </w:rPr>
      </w:pPr>
      <w:r>
        <w:rPr>
          <w:rFonts w:eastAsia="SimSun"/>
          <w:color w:val="000000" w:themeColor="text1"/>
          <w:lang w:eastAsia="zh-CN"/>
        </w:rPr>
        <w:t>Georgia</w:t>
      </w:r>
      <w:r w:rsidR="000E78AF" w:rsidRPr="00664CC7">
        <w:rPr>
          <w:rFonts w:eastAsia="SimSun"/>
          <w:color w:val="000000" w:themeColor="text1"/>
          <w:lang w:eastAsia="zh-CN"/>
        </w:rPr>
        <w:t xml:space="preserve"> has achieved its phase-out target by strengthening legal framework, institutional capacities for enforcement, banning imports of HCFC-containing equipment, increasing awareness on ODS, and reinforcing safe and effective maintenance and servicing p</w:t>
      </w:r>
      <w:r w:rsidR="004A60B9" w:rsidRPr="00664CC7">
        <w:rPr>
          <w:rFonts w:eastAsia="SimSun"/>
          <w:color w:val="000000" w:themeColor="text1"/>
          <w:lang w:eastAsia="zh-CN"/>
        </w:rPr>
        <w:t xml:space="preserve">ractices to minimize leakages. </w:t>
      </w:r>
    </w:p>
    <w:p w14:paraId="33AF6426" w14:textId="77777777" w:rsidR="00F556AD" w:rsidRPr="00F556AD" w:rsidRDefault="00F556AD" w:rsidP="00664CC7">
      <w:pPr>
        <w:widowControl w:val="0"/>
        <w:autoSpaceDE w:val="0"/>
        <w:autoSpaceDN w:val="0"/>
        <w:adjustRightInd w:val="0"/>
        <w:rPr>
          <w:rFonts w:eastAsia="SimSun"/>
          <w:b/>
          <w:bCs/>
          <w:iCs/>
          <w:lang w:val="en-US" w:eastAsia="zh-CN"/>
        </w:rPr>
      </w:pPr>
    </w:p>
    <w:p w14:paraId="025CF335" w14:textId="4165812B" w:rsidR="000E78AF" w:rsidRDefault="00915B56" w:rsidP="00954F05">
      <w:pPr>
        <w:pStyle w:val="Caption"/>
        <w:rPr>
          <w:b/>
          <w:bCs/>
          <w:i w:val="0"/>
          <w:color w:val="auto"/>
          <w:sz w:val="22"/>
          <w:szCs w:val="22"/>
          <w:lang w:eastAsia="zh-CN"/>
        </w:rPr>
      </w:pPr>
      <w:r w:rsidRPr="00FD4A65">
        <w:rPr>
          <w:b/>
          <w:bCs/>
          <w:i w:val="0"/>
          <w:color w:val="auto"/>
          <w:sz w:val="22"/>
          <w:szCs w:val="22"/>
          <w:lang w:eastAsia="zh-CN"/>
        </w:rPr>
        <w:t>Activities to</w:t>
      </w:r>
      <w:r w:rsidR="000E78AF" w:rsidRPr="00FD4A65">
        <w:rPr>
          <w:b/>
          <w:bCs/>
          <w:i w:val="0"/>
          <w:color w:val="auto"/>
          <w:sz w:val="22"/>
          <w:szCs w:val="22"/>
          <w:lang w:eastAsia="zh-CN"/>
        </w:rPr>
        <w:t xml:space="preserve"> be implemented </w:t>
      </w:r>
      <w:r w:rsidRPr="00FD4A65">
        <w:rPr>
          <w:b/>
          <w:bCs/>
          <w:i w:val="0"/>
          <w:color w:val="auto"/>
          <w:sz w:val="22"/>
          <w:szCs w:val="22"/>
          <w:lang w:eastAsia="zh-CN"/>
        </w:rPr>
        <w:t>in</w:t>
      </w:r>
      <w:r w:rsidR="000E78AF" w:rsidRPr="00FD4A65">
        <w:rPr>
          <w:b/>
          <w:bCs/>
          <w:i w:val="0"/>
          <w:color w:val="auto"/>
          <w:sz w:val="22"/>
          <w:szCs w:val="22"/>
          <w:lang w:eastAsia="zh-CN"/>
        </w:rPr>
        <w:t xml:space="preserve"> </w:t>
      </w:r>
      <w:r w:rsidR="00FD4A65" w:rsidRPr="00FD4A65">
        <w:rPr>
          <w:b/>
          <w:bCs/>
          <w:i w:val="0"/>
          <w:color w:val="auto"/>
          <w:sz w:val="22"/>
          <w:szCs w:val="22"/>
          <w:lang w:eastAsia="zh-CN"/>
        </w:rPr>
        <w:t xml:space="preserve">HPMP </w:t>
      </w:r>
      <w:r w:rsidR="00954F05" w:rsidRPr="00FD4A65">
        <w:rPr>
          <w:rFonts w:eastAsia="SimSun"/>
          <w:b/>
          <w:bCs/>
          <w:i w:val="0"/>
          <w:color w:val="auto"/>
          <w:sz w:val="22"/>
          <w:szCs w:val="22"/>
          <w:lang w:eastAsia="zh-CN"/>
        </w:rPr>
        <w:t>Stage II Tranche 2</w:t>
      </w:r>
      <w:r w:rsidR="000E78AF" w:rsidRPr="00FD4A65">
        <w:rPr>
          <w:b/>
          <w:bCs/>
          <w:i w:val="0"/>
          <w:color w:val="auto"/>
          <w:sz w:val="22"/>
          <w:szCs w:val="22"/>
          <w:lang w:eastAsia="zh-CN"/>
        </w:rPr>
        <w:t>:</w:t>
      </w:r>
    </w:p>
    <w:p w14:paraId="7F1A62AA" w14:textId="2496593D" w:rsidR="00F556AD" w:rsidRDefault="00F556AD" w:rsidP="00F556AD">
      <w:pPr>
        <w:rPr>
          <w:rFonts w:eastAsia="Calibri"/>
          <w:color w:val="000000" w:themeColor="text1"/>
        </w:rPr>
      </w:pPr>
      <w:r w:rsidRPr="00F556AD">
        <w:rPr>
          <w:rFonts w:eastAsia="Calibri"/>
          <w:color w:val="000000" w:themeColor="text1"/>
        </w:rPr>
        <w:t>Stage II of the HPMP will be implemented through clusters of non-investment and investment measures which are grouped into following components:</w:t>
      </w:r>
    </w:p>
    <w:p w14:paraId="53545D24" w14:textId="77777777" w:rsidR="003842E6" w:rsidRPr="00F556AD" w:rsidRDefault="003842E6" w:rsidP="00F556AD">
      <w:pPr>
        <w:rPr>
          <w:rFonts w:eastAsia="Calibri"/>
          <w:color w:val="000000" w:themeColor="text1"/>
        </w:rPr>
      </w:pPr>
    </w:p>
    <w:p w14:paraId="32481D2D" w14:textId="77777777" w:rsidR="00F556AD" w:rsidRPr="00F556AD" w:rsidRDefault="00F556AD" w:rsidP="00FA316F">
      <w:pPr>
        <w:pStyle w:val="ListParagraph"/>
        <w:numPr>
          <w:ilvl w:val="0"/>
          <w:numId w:val="26"/>
        </w:numPr>
        <w:spacing w:after="60"/>
        <w:contextualSpacing w:val="0"/>
        <w:rPr>
          <w:rFonts w:eastAsia="Calibri"/>
          <w:color w:val="000000" w:themeColor="text1"/>
        </w:rPr>
      </w:pPr>
      <w:r w:rsidRPr="00F556AD">
        <w:rPr>
          <w:rFonts w:eastAsia="Calibri"/>
          <w:b/>
          <w:bCs/>
          <w:color w:val="000000" w:themeColor="text1"/>
        </w:rPr>
        <w:lastRenderedPageBreak/>
        <w:t>Component 1</w:t>
      </w:r>
      <w:r w:rsidRPr="00F556AD">
        <w:rPr>
          <w:rFonts w:eastAsia="Calibri"/>
          <w:color w:val="000000" w:themeColor="text1"/>
        </w:rPr>
        <w:t xml:space="preserve">. </w:t>
      </w:r>
      <w:r w:rsidRPr="00F556AD">
        <w:rPr>
          <w:rFonts w:eastAsia="Calibri"/>
          <w:i/>
          <w:iCs/>
          <w:color w:val="000000" w:themeColor="text1"/>
        </w:rPr>
        <w:t>Policy, Regulatory and Institutional Support</w:t>
      </w:r>
      <w:r w:rsidRPr="00F556AD">
        <w:rPr>
          <w:rFonts w:eastAsia="Calibri"/>
          <w:color w:val="000000" w:themeColor="text1"/>
        </w:rPr>
        <w:t xml:space="preserve"> aims at strengthening legislative and regulatory base for facilitating market transition to a new range of technologies, application of relevant green procurement approaches, introducing policy options for incentivizing the return of used refrigerants, labelling of reclaimed refrigerants and placing them on the market, developing professional qualification standards for technicians. </w:t>
      </w:r>
    </w:p>
    <w:p w14:paraId="13942649" w14:textId="77777777" w:rsidR="00F556AD" w:rsidRPr="00F556AD" w:rsidRDefault="00F556AD" w:rsidP="00FA316F">
      <w:pPr>
        <w:pStyle w:val="ListParagraph"/>
        <w:numPr>
          <w:ilvl w:val="0"/>
          <w:numId w:val="26"/>
        </w:numPr>
        <w:spacing w:after="60"/>
        <w:contextualSpacing w:val="0"/>
        <w:rPr>
          <w:rFonts w:eastAsia="Calibri"/>
          <w:color w:val="000000" w:themeColor="text1"/>
        </w:rPr>
      </w:pPr>
      <w:r w:rsidRPr="00F556AD">
        <w:rPr>
          <w:rFonts w:eastAsia="Calibri"/>
          <w:b/>
          <w:bCs/>
          <w:color w:val="000000" w:themeColor="text1"/>
        </w:rPr>
        <w:t>Component 2</w:t>
      </w:r>
      <w:r w:rsidRPr="00F556AD">
        <w:rPr>
          <w:rFonts w:eastAsia="Calibri"/>
          <w:color w:val="000000" w:themeColor="text1"/>
        </w:rPr>
        <w:t xml:space="preserve">. </w:t>
      </w:r>
      <w:r w:rsidRPr="00F556AD">
        <w:rPr>
          <w:rFonts w:eastAsia="Calibri"/>
          <w:i/>
          <w:iCs/>
          <w:color w:val="000000" w:themeColor="text1"/>
        </w:rPr>
        <w:t>Training, Capacity building and Awarene</w:t>
      </w:r>
      <w:r w:rsidRPr="00F556AD">
        <w:rPr>
          <w:rFonts w:eastAsia="Calibri"/>
          <w:color w:val="000000" w:themeColor="text1"/>
        </w:rPr>
        <w:t>ss aims at building capacity of technicians in in handling zero-GWP refrigerants, supporting vocational schools, strengthening Certification System for technicians, enhancing capacity of law enforcement agencies, informing importers and end-users on new technology options for refrigeration and cooling, facilitating intersectoral cooperation.</w:t>
      </w:r>
    </w:p>
    <w:p w14:paraId="358D7751" w14:textId="77777777" w:rsidR="00F556AD" w:rsidRPr="00F556AD" w:rsidRDefault="00F556AD" w:rsidP="00FA316F">
      <w:pPr>
        <w:pStyle w:val="ListParagraph"/>
        <w:numPr>
          <w:ilvl w:val="0"/>
          <w:numId w:val="26"/>
        </w:numPr>
        <w:spacing w:after="60"/>
        <w:contextualSpacing w:val="0"/>
        <w:rPr>
          <w:rFonts w:eastAsia="Calibri"/>
          <w:color w:val="000000" w:themeColor="text1"/>
        </w:rPr>
      </w:pPr>
      <w:r w:rsidRPr="00F556AD">
        <w:rPr>
          <w:rFonts w:eastAsia="Calibri"/>
          <w:b/>
          <w:bCs/>
          <w:color w:val="000000" w:themeColor="text1"/>
        </w:rPr>
        <w:t>Component 3</w:t>
      </w:r>
      <w:r w:rsidRPr="00F556AD">
        <w:rPr>
          <w:rFonts w:eastAsia="Calibri"/>
          <w:color w:val="000000" w:themeColor="text1"/>
        </w:rPr>
        <w:t xml:space="preserve">. </w:t>
      </w:r>
      <w:r w:rsidRPr="00F556AD">
        <w:rPr>
          <w:rFonts w:eastAsia="Calibri"/>
          <w:i/>
          <w:iCs/>
          <w:color w:val="000000" w:themeColor="text1"/>
        </w:rPr>
        <w:t>Demonstration Projects</w:t>
      </w:r>
      <w:r w:rsidRPr="00F556AD">
        <w:rPr>
          <w:rFonts w:eastAsia="Calibri"/>
          <w:color w:val="000000" w:themeColor="text1"/>
        </w:rPr>
        <w:t xml:space="preserve"> aims at promoting</w:t>
      </w:r>
      <w:r w:rsidRPr="00F556AD">
        <w:t xml:space="preserve"> the application of low-GWP technologies having significant potential for broad application in Georgia</w:t>
      </w:r>
      <w:r w:rsidRPr="00F556AD">
        <w:rPr>
          <w:rFonts w:eastAsia="Calibri"/>
          <w:color w:val="000000" w:themeColor="text1"/>
        </w:rPr>
        <w:t>.</w:t>
      </w:r>
    </w:p>
    <w:p w14:paraId="6C45712C" w14:textId="655BC4B9" w:rsidR="0057068F" w:rsidRPr="003842E6" w:rsidRDefault="00F556AD" w:rsidP="00FA316F">
      <w:pPr>
        <w:pStyle w:val="ListParagraph"/>
        <w:numPr>
          <w:ilvl w:val="0"/>
          <w:numId w:val="26"/>
        </w:numPr>
        <w:spacing w:after="60"/>
        <w:contextualSpacing w:val="0"/>
        <w:rPr>
          <w:rFonts w:eastAsia="Calibri"/>
          <w:color w:val="000000" w:themeColor="text1"/>
        </w:rPr>
      </w:pPr>
      <w:r w:rsidRPr="00F556AD">
        <w:rPr>
          <w:rFonts w:eastAsia="Calibri"/>
          <w:b/>
          <w:bCs/>
          <w:color w:val="000000" w:themeColor="text1"/>
        </w:rPr>
        <w:t>Component 4</w:t>
      </w:r>
      <w:r w:rsidRPr="00F556AD">
        <w:rPr>
          <w:rFonts w:eastAsia="Calibri"/>
          <w:color w:val="000000" w:themeColor="text1"/>
        </w:rPr>
        <w:t xml:space="preserve">. </w:t>
      </w:r>
      <w:r w:rsidRPr="00F556AD">
        <w:rPr>
          <w:rFonts w:eastAsia="Calibri"/>
          <w:i/>
          <w:iCs/>
          <w:color w:val="000000" w:themeColor="text1"/>
        </w:rPr>
        <w:t xml:space="preserve">Technical Assistance to Support Good Servicing Practices in the Refrigeration Sector </w:t>
      </w:r>
      <w:r w:rsidRPr="00F556AD">
        <w:rPr>
          <w:rFonts w:eastAsia="Calibri"/>
          <w:color w:val="000000" w:themeColor="text1"/>
        </w:rPr>
        <w:t>aims at providing support with hardware (equipment) to the Customs Department and Department of Environmental Supervision, the RAC service centres and vocational schools and assisting Georgia in defining the policy for on-site storage of ODS waste.</w:t>
      </w:r>
    </w:p>
    <w:p w14:paraId="256573AB" w14:textId="77777777" w:rsidR="00BF5460" w:rsidRPr="00675735" w:rsidRDefault="00BF5460" w:rsidP="00664CC7">
      <w:pPr>
        <w:rPr>
          <w:b/>
          <w:bCs/>
          <w:lang w:eastAsia="zh-CN"/>
        </w:rPr>
      </w:pPr>
    </w:p>
    <w:p w14:paraId="75815667" w14:textId="28A45512" w:rsidR="00BF5460" w:rsidRPr="00675735" w:rsidRDefault="00BF5460" w:rsidP="004F0FD1">
      <w:pPr>
        <w:pStyle w:val="Caption"/>
        <w:rPr>
          <w:rFonts w:eastAsia="SimSun"/>
          <w:b/>
          <w:bCs/>
          <w:i w:val="0"/>
          <w:iCs w:val="0"/>
          <w:color w:val="FF0000"/>
          <w:sz w:val="22"/>
          <w:szCs w:val="22"/>
          <w:lang w:eastAsia="zh-CN"/>
        </w:rPr>
      </w:pPr>
      <w:r w:rsidRPr="00675735">
        <w:rPr>
          <w:rFonts w:eastAsia="SimSun"/>
          <w:b/>
          <w:bCs/>
          <w:i w:val="0"/>
          <w:color w:val="auto"/>
          <w:sz w:val="22"/>
          <w:szCs w:val="22"/>
          <w:lang w:eastAsia="zh-CN"/>
        </w:rPr>
        <w:t>HPMP Compliance Goals</w:t>
      </w:r>
    </w:p>
    <w:p w14:paraId="7B96DCBF" w14:textId="57656703" w:rsidR="003842E6" w:rsidRPr="000F1096" w:rsidRDefault="00133D02" w:rsidP="000F1096">
      <w:pPr>
        <w:widowControl w:val="0"/>
        <w:autoSpaceDE w:val="0"/>
        <w:autoSpaceDN w:val="0"/>
        <w:adjustRightInd w:val="0"/>
        <w:rPr>
          <w:rFonts w:eastAsia="SimSun"/>
          <w:color w:val="000000" w:themeColor="text1"/>
          <w:lang w:eastAsia="zh-CN"/>
        </w:rPr>
      </w:pPr>
      <w:r w:rsidRPr="00133D02">
        <w:rPr>
          <w:lang w:eastAsia="ru-RU"/>
        </w:rPr>
        <w:t>T</w:t>
      </w:r>
      <w:r w:rsidR="00D61CC5" w:rsidRPr="00133D02">
        <w:rPr>
          <w:lang w:eastAsia="ru-RU"/>
        </w:rPr>
        <w:t xml:space="preserve">he Government of </w:t>
      </w:r>
      <w:r w:rsidR="000F1096">
        <w:rPr>
          <w:lang w:eastAsia="ru-RU"/>
        </w:rPr>
        <w:t>Georgia</w:t>
      </w:r>
      <w:r w:rsidR="00D61CC5" w:rsidRPr="00133D02">
        <w:rPr>
          <w:lang w:eastAsia="ru-RU"/>
        </w:rPr>
        <w:t xml:space="preserve"> will continue its activities, both at the project and policy levels, to enable it to work towards the 67.5% reduction of its HCFC consumption in 2025</w:t>
      </w:r>
      <w:r w:rsidR="000F1096">
        <w:rPr>
          <w:rFonts w:eastAsia="SimSun"/>
          <w:color w:val="000000" w:themeColor="text1"/>
          <w:lang w:eastAsia="zh-CN"/>
        </w:rPr>
        <w:t>.</w:t>
      </w:r>
    </w:p>
    <w:p w14:paraId="233224FD" w14:textId="77777777" w:rsidR="003842E6" w:rsidRPr="00F556AD" w:rsidRDefault="003842E6" w:rsidP="003842E6">
      <w:pPr>
        <w:widowControl w:val="0"/>
        <w:autoSpaceDE w:val="0"/>
        <w:autoSpaceDN w:val="0"/>
        <w:adjustRightInd w:val="0"/>
        <w:rPr>
          <w:rFonts w:eastAsia="SimSun"/>
          <w:color w:val="000000" w:themeColor="text1"/>
          <w:lang w:eastAsia="zh-CN"/>
        </w:rPr>
      </w:pPr>
      <w:r w:rsidRPr="00F556AD">
        <w:rPr>
          <w:rFonts w:eastAsia="SimSun"/>
          <w:color w:val="000000" w:themeColor="text1"/>
          <w:lang w:eastAsia="zh-CN"/>
        </w:rPr>
        <w:t xml:space="preserve">The concrete goal of the II Stage of HPMP is to achieve 67.5% HCFC consumption reduction by 2025, 97.5% reduction by 2030 and 100% reduction by 2020 by implementing groups of horizontal and specific measures that will ensure smooth and sustained transition from HCFC consumption.  </w:t>
      </w:r>
    </w:p>
    <w:p w14:paraId="55C1C52A" w14:textId="77777777" w:rsidR="003842E6" w:rsidRPr="00CB4DAF" w:rsidRDefault="003842E6" w:rsidP="003842E6">
      <w:pPr>
        <w:spacing w:before="120"/>
        <w:rPr>
          <w:rFonts w:asciiTheme="minorHAnsi" w:eastAsia="Calibri" w:hAnsiTheme="minorHAnsi" w:cstheme="minorHAnsi"/>
          <w:color w:val="000000" w:themeColor="text1"/>
        </w:rPr>
      </w:pPr>
    </w:p>
    <w:p w14:paraId="05B5D280" w14:textId="77777777" w:rsidR="003842E6" w:rsidRPr="00CB4DAF" w:rsidRDefault="003842E6" w:rsidP="003842E6">
      <w:pPr>
        <w:pStyle w:val="Caption"/>
        <w:rPr>
          <w:rFonts w:asciiTheme="minorHAnsi" w:hAnsiTheme="minorHAnsi" w:cstheme="minorHAnsi"/>
        </w:rPr>
      </w:pPr>
      <w:r w:rsidRPr="00CB4DAF">
        <w:rPr>
          <w:rFonts w:asciiTheme="minorHAnsi" w:hAnsiTheme="minorHAnsi" w:cstheme="minorHAnsi"/>
        </w:rPr>
        <w:t xml:space="preserve">Table 9: HPMP-II </w:t>
      </w:r>
      <w:proofErr w:type="gramStart"/>
      <w:r w:rsidRPr="00CB4DAF">
        <w:rPr>
          <w:rFonts w:asciiTheme="minorHAnsi" w:hAnsiTheme="minorHAnsi" w:cstheme="minorHAnsi"/>
        </w:rPr>
        <w:t>phase</w:t>
      </w:r>
      <w:proofErr w:type="gramEnd"/>
      <w:r w:rsidRPr="00CB4DAF">
        <w:rPr>
          <w:rFonts w:asciiTheme="minorHAnsi" w:hAnsiTheme="minorHAnsi" w:cstheme="minorHAnsi"/>
        </w:rPr>
        <w:t xml:space="preserve"> out targets</w:t>
      </w:r>
    </w:p>
    <w:tbl>
      <w:tblPr>
        <w:tblStyle w:val="GridTable4-Accent1"/>
        <w:tblpPr w:leftFromText="180" w:rightFromText="180" w:vertAnchor="text" w:horzAnchor="margin" w:tblpXSpec="center" w:tblpY="82"/>
        <w:tblW w:w="5000" w:type="pct"/>
        <w:tblLook w:val="04A0" w:firstRow="1" w:lastRow="0" w:firstColumn="1" w:lastColumn="0" w:noHBand="0" w:noVBand="1"/>
      </w:tblPr>
      <w:tblGrid>
        <w:gridCol w:w="2373"/>
        <w:gridCol w:w="2642"/>
        <w:gridCol w:w="2640"/>
        <w:gridCol w:w="2505"/>
      </w:tblGrid>
      <w:tr w:rsidR="003842E6" w:rsidRPr="00CB4DAF" w14:paraId="65B2F3B0" w14:textId="77777777" w:rsidTr="00CE1543">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68" w:type="pct"/>
          </w:tcPr>
          <w:p w14:paraId="2B591DBE" w14:textId="77777777" w:rsidR="003842E6" w:rsidRPr="00CB4DAF" w:rsidRDefault="003842E6" w:rsidP="00CE1543">
            <w:pPr>
              <w:jc w:val="center"/>
              <w:rPr>
                <w:rFonts w:cstheme="minorHAnsi"/>
                <w:sz w:val="18"/>
                <w:szCs w:val="18"/>
              </w:rPr>
            </w:pPr>
            <w:r w:rsidRPr="00CB4DAF">
              <w:rPr>
                <w:rFonts w:cstheme="minorHAnsi"/>
                <w:sz w:val="18"/>
                <w:szCs w:val="18"/>
              </w:rPr>
              <w:t>Year</w:t>
            </w:r>
          </w:p>
        </w:tc>
        <w:tc>
          <w:tcPr>
            <w:tcW w:w="1300" w:type="pct"/>
          </w:tcPr>
          <w:p w14:paraId="14D6C011" w14:textId="77777777" w:rsidR="003842E6" w:rsidRPr="00CB4DAF" w:rsidRDefault="003842E6" w:rsidP="00CE1543">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CB4DAF">
              <w:rPr>
                <w:rFonts w:cstheme="minorHAnsi"/>
                <w:sz w:val="18"/>
                <w:szCs w:val="18"/>
              </w:rPr>
              <w:t>Target quantity in MT</w:t>
            </w:r>
          </w:p>
        </w:tc>
        <w:tc>
          <w:tcPr>
            <w:tcW w:w="1299" w:type="pct"/>
          </w:tcPr>
          <w:p w14:paraId="0D930EF1" w14:textId="77777777" w:rsidR="003842E6" w:rsidRPr="00CB4DAF" w:rsidRDefault="003842E6" w:rsidP="00CE1543">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CB4DAF">
              <w:rPr>
                <w:rFonts w:cstheme="minorHAnsi"/>
                <w:sz w:val="18"/>
                <w:szCs w:val="18"/>
              </w:rPr>
              <w:t>Target quantity in ODP tones</w:t>
            </w:r>
          </w:p>
        </w:tc>
        <w:tc>
          <w:tcPr>
            <w:tcW w:w="1233" w:type="pct"/>
          </w:tcPr>
          <w:p w14:paraId="5DB0E0F5" w14:textId="77777777" w:rsidR="003842E6" w:rsidRPr="00CB4DAF" w:rsidRDefault="003842E6" w:rsidP="00CE1543">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CB4DAF">
              <w:rPr>
                <w:rFonts w:cstheme="minorHAnsi"/>
                <w:sz w:val="18"/>
                <w:szCs w:val="18"/>
              </w:rPr>
              <w:t>Phase-out in %</w:t>
            </w:r>
          </w:p>
        </w:tc>
      </w:tr>
      <w:tr w:rsidR="003842E6" w:rsidRPr="00CB4DAF" w14:paraId="36E17B6B" w14:textId="77777777" w:rsidTr="00CE15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68" w:type="pct"/>
          </w:tcPr>
          <w:p w14:paraId="1D3B9B3B" w14:textId="77777777" w:rsidR="003842E6" w:rsidRPr="00CB4DAF" w:rsidRDefault="003842E6" w:rsidP="00CE1543">
            <w:pPr>
              <w:jc w:val="center"/>
              <w:rPr>
                <w:rFonts w:cstheme="minorHAnsi"/>
                <w:sz w:val="18"/>
                <w:szCs w:val="18"/>
              </w:rPr>
            </w:pPr>
            <w:r w:rsidRPr="00CB4DAF">
              <w:rPr>
                <w:rFonts w:cstheme="minorHAnsi"/>
                <w:sz w:val="18"/>
                <w:szCs w:val="18"/>
              </w:rPr>
              <w:t>2025</w:t>
            </w:r>
          </w:p>
        </w:tc>
        <w:tc>
          <w:tcPr>
            <w:tcW w:w="1300" w:type="pct"/>
          </w:tcPr>
          <w:p w14:paraId="12BED651" w14:textId="77777777" w:rsidR="003842E6" w:rsidRPr="00CB4DAF" w:rsidRDefault="003842E6" w:rsidP="00CE154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ka-GE"/>
              </w:rPr>
            </w:pPr>
            <w:r w:rsidRPr="00CB4DAF">
              <w:rPr>
                <w:rFonts w:eastAsia="Calibri" w:cstheme="minorHAnsi"/>
                <w:color w:val="000000" w:themeColor="text1"/>
                <w:sz w:val="18"/>
                <w:szCs w:val="18"/>
              </w:rPr>
              <w:t>27.</w:t>
            </w:r>
            <w:r w:rsidRPr="00CB4DAF">
              <w:rPr>
                <w:rFonts w:eastAsia="Calibri" w:cstheme="minorHAnsi"/>
                <w:color w:val="000000" w:themeColor="text1"/>
                <w:sz w:val="18"/>
                <w:szCs w:val="18"/>
                <w:lang w:val="en-US"/>
              </w:rPr>
              <w:t>0</w:t>
            </w:r>
            <w:r w:rsidRPr="00CB4DAF">
              <w:rPr>
                <w:rFonts w:eastAsia="Calibri" w:cstheme="minorHAnsi"/>
                <w:color w:val="000000" w:themeColor="text1"/>
                <w:sz w:val="18"/>
                <w:szCs w:val="18"/>
              </w:rPr>
              <w:t>1</w:t>
            </w:r>
          </w:p>
        </w:tc>
        <w:tc>
          <w:tcPr>
            <w:tcW w:w="1299" w:type="pct"/>
          </w:tcPr>
          <w:p w14:paraId="3E309786" w14:textId="77777777" w:rsidR="003842E6" w:rsidRPr="00CB4DAF" w:rsidRDefault="003842E6" w:rsidP="00CE154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B4DAF">
              <w:rPr>
                <w:rFonts w:eastAsia="Calibri" w:cstheme="minorHAnsi"/>
                <w:color w:val="000000" w:themeColor="text1"/>
                <w:sz w:val="18"/>
                <w:szCs w:val="18"/>
              </w:rPr>
              <w:t>1.49</w:t>
            </w:r>
          </w:p>
        </w:tc>
        <w:tc>
          <w:tcPr>
            <w:tcW w:w="1233" w:type="pct"/>
          </w:tcPr>
          <w:p w14:paraId="6931CF10" w14:textId="77777777" w:rsidR="003842E6" w:rsidRPr="00CB4DAF" w:rsidRDefault="003842E6" w:rsidP="00CE1543">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B4DAF">
              <w:rPr>
                <w:rFonts w:eastAsia="Calibri" w:cstheme="minorHAnsi"/>
                <w:color w:val="000000" w:themeColor="text1"/>
                <w:sz w:val="18"/>
                <w:szCs w:val="18"/>
              </w:rPr>
              <w:t>67.5%</w:t>
            </w:r>
          </w:p>
        </w:tc>
      </w:tr>
      <w:tr w:rsidR="003842E6" w:rsidRPr="00CB4DAF" w14:paraId="2AF6C9F6" w14:textId="77777777" w:rsidTr="00CE1543">
        <w:trPr>
          <w:trHeight w:val="170"/>
        </w:trPr>
        <w:tc>
          <w:tcPr>
            <w:cnfStyle w:val="001000000000" w:firstRow="0" w:lastRow="0" w:firstColumn="1" w:lastColumn="0" w:oddVBand="0" w:evenVBand="0" w:oddHBand="0" w:evenHBand="0" w:firstRowFirstColumn="0" w:firstRowLastColumn="0" w:lastRowFirstColumn="0" w:lastRowLastColumn="0"/>
            <w:tcW w:w="1168" w:type="pct"/>
          </w:tcPr>
          <w:p w14:paraId="03489336" w14:textId="77777777" w:rsidR="003842E6" w:rsidRPr="00CB4DAF" w:rsidRDefault="003842E6" w:rsidP="00CE1543">
            <w:pPr>
              <w:jc w:val="center"/>
              <w:rPr>
                <w:rFonts w:cstheme="minorHAnsi"/>
                <w:sz w:val="18"/>
                <w:szCs w:val="18"/>
              </w:rPr>
            </w:pPr>
            <w:r w:rsidRPr="00CB4DAF">
              <w:rPr>
                <w:rFonts w:cstheme="minorHAnsi"/>
                <w:sz w:val="18"/>
                <w:szCs w:val="18"/>
              </w:rPr>
              <w:t>2030</w:t>
            </w:r>
          </w:p>
        </w:tc>
        <w:tc>
          <w:tcPr>
            <w:tcW w:w="1300" w:type="pct"/>
          </w:tcPr>
          <w:p w14:paraId="12444235" w14:textId="77777777" w:rsidR="003842E6" w:rsidRPr="00CB4DAF" w:rsidRDefault="003842E6" w:rsidP="00CE154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B4DAF">
              <w:rPr>
                <w:rFonts w:eastAsia="Calibri" w:cstheme="minorHAnsi"/>
                <w:color w:val="000000" w:themeColor="text1"/>
                <w:sz w:val="18"/>
                <w:szCs w:val="18"/>
              </w:rPr>
              <w:t>2.08</w:t>
            </w:r>
          </w:p>
        </w:tc>
        <w:tc>
          <w:tcPr>
            <w:tcW w:w="1299" w:type="pct"/>
          </w:tcPr>
          <w:p w14:paraId="5FAC9896" w14:textId="77777777" w:rsidR="003842E6" w:rsidRPr="00CB4DAF" w:rsidRDefault="003842E6" w:rsidP="00CE154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B4DAF">
              <w:rPr>
                <w:rFonts w:eastAsia="Calibri" w:cstheme="minorHAnsi"/>
                <w:color w:val="000000" w:themeColor="text1"/>
                <w:sz w:val="18"/>
                <w:szCs w:val="18"/>
              </w:rPr>
              <w:t>0.11</w:t>
            </w:r>
          </w:p>
        </w:tc>
        <w:tc>
          <w:tcPr>
            <w:tcW w:w="1233" w:type="pct"/>
          </w:tcPr>
          <w:p w14:paraId="7B669F36" w14:textId="77777777" w:rsidR="003842E6" w:rsidRPr="00CB4DAF" w:rsidRDefault="003842E6" w:rsidP="00CE154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B4DAF">
              <w:rPr>
                <w:rFonts w:eastAsia="Calibri" w:cstheme="minorHAnsi"/>
                <w:color w:val="000000" w:themeColor="text1"/>
                <w:sz w:val="18"/>
                <w:szCs w:val="18"/>
              </w:rPr>
              <w:t>97.5%</w:t>
            </w:r>
          </w:p>
        </w:tc>
      </w:tr>
    </w:tbl>
    <w:p w14:paraId="58AEB935" w14:textId="77777777" w:rsidR="003842E6" w:rsidRPr="00CB4DAF" w:rsidRDefault="003842E6" w:rsidP="003842E6">
      <w:pPr>
        <w:rPr>
          <w:rFonts w:asciiTheme="minorHAnsi" w:eastAsia="Calibri" w:hAnsiTheme="minorHAnsi" w:cstheme="minorHAnsi"/>
          <w:color w:val="000000" w:themeColor="text1"/>
        </w:rPr>
      </w:pPr>
    </w:p>
    <w:p w14:paraId="42041419" w14:textId="77777777" w:rsidR="003842E6" w:rsidRPr="00F556AD" w:rsidRDefault="003842E6" w:rsidP="003842E6">
      <w:pPr>
        <w:widowControl w:val="0"/>
        <w:autoSpaceDE w:val="0"/>
        <w:autoSpaceDN w:val="0"/>
        <w:adjustRightInd w:val="0"/>
        <w:rPr>
          <w:rFonts w:eastAsia="SimSun"/>
          <w:color w:val="000000" w:themeColor="text1"/>
          <w:lang w:eastAsia="zh-CN"/>
        </w:rPr>
      </w:pPr>
      <w:r w:rsidRPr="00F556AD">
        <w:rPr>
          <w:rFonts w:eastAsia="SimSun"/>
          <w:color w:val="000000" w:themeColor="text1"/>
          <w:lang w:eastAsia="zh-CN"/>
        </w:rPr>
        <w:t>Projected consumption level from 2021 to 2030 is assessed is given in table 10 below.</w:t>
      </w:r>
    </w:p>
    <w:p w14:paraId="3183E7DD" w14:textId="77777777" w:rsidR="003842E6" w:rsidRPr="00CB4DAF" w:rsidRDefault="003842E6" w:rsidP="003842E6">
      <w:pPr>
        <w:rPr>
          <w:rFonts w:asciiTheme="minorHAnsi" w:eastAsia="Calibri" w:hAnsiTheme="minorHAnsi" w:cstheme="minorHAnsi"/>
          <w:b/>
          <w:bCs/>
          <w:color w:val="000000" w:themeColor="text1"/>
        </w:rPr>
      </w:pPr>
    </w:p>
    <w:p w14:paraId="2C62C887" w14:textId="77777777" w:rsidR="003842E6" w:rsidRPr="00F556AD" w:rsidRDefault="003842E6" w:rsidP="003842E6">
      <w:pPr>
        <w:pStyle w:val="Caption"/>
        <w:rPr>
          <w:rFonts w:asciiTheme="minorHAnsi" w:hAnsiTheme="minorHAnsi" w:cstheme="minorHAnsi"/>
        </w:rPr>
      </w:pPr>
      <w:r w:rsidRPr="00F556AD">
        <w:rPr>
          <w:rFonts w:asciiTheme="minorHAnsi" w:hAnsiTheme="minorHAnsi" w:cstheme="minorHAnsi"/>
        </w:rPr>
        <w:t>Table 10: Projected consumption level for 2021-2030</w:t>
      </w:r>
    </w:p>
    <w:tbl>
      <w:tblPr>
        <w:tblStyle w:val="GridTable4-Accent1"/>
        <w:tblW w:w="5000" w:type="pct"/>
        <w:tblLook w:val="04A0" w:firstRow="1" w:lastRow="0" w:firstColumn="1" w:lastColumn="0" w:noHBand="0" w:noVBand="1"/>
      </w:tblPr>
      <w:tblGrid>
        <w:gridCol w:w="3792"/>
        <w:gridCol w:w="792"/>
        <w:gridCol w:w="795"/>
        <w:gridCol w:w="795"/>
        <w:gridCol w:w="795"/>
        <w:gridCol w:w="1333"/>
        <w:gridCol w:w="795"/>
        <w:gridCol w:w="1063"/>
      </w:tblGrid>
      <w:tr w:rsidR="003842E6" w:rsidRPr="00CB4DAF" w14:paraId="11D5AE89" w14:textId="77777777" w:rsidTr="00CE1543">
        <w:trPr>
          <w:cnfStyle w:val="100000000000" w:firstRow="1" w:lastRow="0" w:firstColumn="0" w:lastColumn="0" w:oddVBand="0" w:evenVBand="0" w:oddHBand="0"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866" w:type="pct"/>
          </w:tcPr>
          <w:p w14:paraId="64B3A235" w14:textId="77777777" w:rsidR="003842E6" w:rsidRPr="00CB4DAF" w:rsidRDefault="003842E6" w:rsidP="00CE1543">
            <w:pPr>
              <w:rPr>
                <w:rFonts w:eastAsia="Calibri" w:cstheme="minorHAnsi"/>
                <w:sz w:val="18"/>
                <w:szCs w:val="18"/>
              </w:rPr>
            </w:pPr>
            <w:r w:rsidRPr="00CB4DAF">
              <w:rPr>
                <w:rFonts w:eastAsia="Calibri" w:cstheme="minorHAnsi"/>
                <w:color w:val="auto"/>
                <w:sz w:val="18"/>
                <w:szCs w:val="18"/>
              </w:rPr>
              <w:t>(VI) PROJECT DATA</w:t>
            </w:r>
          </w:p>
        </w:tc>
        <w:tc>
          <w:tcPr>
            <w:tcW w:w="0" w:type="pct"/>
          </w:tcPr>
          <w:p w14:paraId="5A62A9D0" w14:textId="77777777" w:rsidR="003842E6" w:rsidRPr="00CB4DAF" w:rsidRDefault="003842E6" w:rsidP="00CE1543">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CB4DAF">
              <w:rPr>
                <w:rFonts w:eastAsia="Calibri" w:cstheme="minorHAnsi"/>
                <w:color w:val="auto"/>
                <w:sz w:val="18"/>
                <w:szCs w:val="18"/>
              </w:rPr>
              <w:t>2021</w:t>
            </w:r>
          </w:p>
        </w:tc>
        <w:tc>
          <w:tcPr>
            <w:tcW w:w="0" w:type="pct"/>
          </w:tcPr>
          <w:p w14:paraId="1619733F" w14:textId="77777777" w:rsidR="003842E6" w:rsidRPr="00CB4DAF" w:rsidRDefault="003842E6" w:rsidP="00CE1543">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CB4DAF">
              <w:rPr>
                <w:rFonts w:eastAsia="Calibri" w:cstheme="minorHAnsi"/>
                <w:color w:val="auto"/>
                <w:sz w:val="18"/>
                <w:szCs w:val="18"/>
              </w:rPr>
              <w:t>2022</w:t>
            </w:r>
          </w:p>
        </w:tc>
        <w:tc>
          <w:tcPr>
            <w:tcW w:w="0" w:type="pct"/>
          </w:tcPr>
          <w:p w14:paraId="6966F3D4" w14:textId="77777777" w:rsidR="003842E6" w:rsidRPr="00CB4DAF" w:rsidRDefault="003842E6" w:rsidP="00CE1543">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CB4DAF">
              <w:rPr>
                <w:rFonts w:eastAsia="Calibri" w:cstheme="minorHAnsi"/>
                <w:color w:val="auto"/>
                <w:sz w:val="18"/>
                <w:szCs w:val="18"/>
              </w:rPr>
              <w:t>2023</w:t>
            </w:r>
          </w:p>
        </w:tc>
        <w:tc>
          <w:tcPr>
            <w:tcW w:w="0" w:type="pct"/>
          </w:tcPr>
          <w:p w14:paraId="2DA4F1D8" w14:textId="77777777" w:rsidR="003842E6" w:rsidRPr="00CB4DAF" w:rsidRDefault="003842E6" w:rsidP="00CE1543">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CB4DAF">
              <w:rPr>
                <w:rFonts w:eastAsia="Calibri" w:cstheme="minorHAnsi"/>
                <w:color w:val="auto"/>
                <w:sz w:val="18"/>
                <w:szCs w:val="18"/>
              </w:rPr>
              <w:t>2024</w:t>
            </w:r>
          </w:p>
        </w:tc>
        <w:tc>
          <w:tcPr>
            <w:tcW w:w="0" w:type="pct"/>
          </w:tcPr>
          <w:p w14:paraId="2BDEBF8A" w14:textId="77777777" w:rsidR="003842E6" w:rsidRPr="00CB4DAF" w:rsidRDefault="003842E6" w:rsidP="00CE1543">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CB4DAF">
              <w:rPr>
                <w:rFonts w:eastAsia="Calibri" w:cstheme="minorHAnsi"/>
                <w:color w:val="auto"/>
                <w:sz w:val="18"/>
                <w:szCs w:val="18"/>
              </w:rPr>
              <w:t>2025-2029</w:t>
            </w:r>
          </w:p>
        </w:tc>
        <w:tc>
          <w:tcPr>
            <w:tcW w:w="0" w:type="pct"/>
          </w:tcPr>
          <w:p w14:paraId="1B66E355" w14:textId="77777777" w:rsidR="003842E6" w:rsidRPr="00CB4DAF" w:rsidRDefault="003842E6" w:rsidP="00CE1543">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CB4DAF">
              <w:rPr>
                <w:rFonts w:eastAsia="Calibri" w:cstheme="minorHAnsi"/>
                <w:color w:val="auto"/>
                <w:sz w:val="18"/>
                <w:szCs w:val="18"/>
              </w:rPr>
              <w:t>2030</w:t>
            </w:r>
          </w:p>
        </w:tc>
        <w:tc>
          <w:tcPr>
            <w:tcW w:w="523" w:type="pct"/>
          </w:tcPr>
          <w:p w14:paraId="552BF152" w14:textId="77777777" w:rsidR="003842E6" w:rsidRPr="00CB4DAF" w:rsidRDefault="003842E6" w:rsidP="00CE1543">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CB4DAF">
              <w:rPr>
                <w:rFonts w:eastAsia="Calibri" w:cstheme="minorHAnsi"/>
                <w:color w:val="auto"/>
                <w:sz w:val="18"/>
                <w:szCs w:val="18"/>
              </w:rPr>
              <w:t>Total</w:t>
            </w:r>
          </w:p>
        </w:tc>
      </w:tr>
      <w:tr w:rsidR="003842E6" w:rsidRPr="00CB4DAF" w14:paraId="478E6E62" w14:textId="77777777" w:rsidTr="00CE154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866" w:type="pct"/>
          </w:tcPr>
          <w:p w14:paraId="4D9565C8" w14:textId="77777777" w:rsidR="003842E6" w:rsidRPr="00CB4DAF" w:rsidRDefault="003842E6" w:rsidP="00CE1543">
            <w:pPr>
              <w:rPr>
                <w:rFonts w:eastAsia="Calibri" w:cstheme="minorHAnsi"/>
                <w:color w:val="000000" w:themeColor="text1"/>
                <w:sz w:val="18"/>
                <w:szCs w:val="18"/>
                <w:lang w:val="ka-GE"/>
              </w:rPr>
            </w:pPr>
            <w:r w:rsidRPr="00CB4DAF">
              <w:rPr>
                <w:rFonts w:eastAsia="Calibri" w:cstheme="minorHAnsi"/>
                <w:color w:val="000000" w:themeColor="text1"/>
                <w:sz w:val="18"/>
                <w:szCs w:val="18"/>
                <w:lang w:val="ka-GE"/>
              </w:rPr>
              <w:t>Maximum allowable consumption (ODP tonnes)</w:t>
            </w:r>
          </w:p>
        </w:tc>
        <w:tc>
          <w:tcPr>
            <w:tcW w:w="390" w:type="pct"/>
          </w:tcPr>
          <w:p w14:paraId="776E8358" w14:textId="77777777" w:rsidR="003842E6" w:rsidRPr="00CB4DAF" w:rsidRDefault="003842E6" w:rsidP="00CE1543">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18"/>
                <w:szCs w:val="18"/>
                <w:lang w:val="ka-GE"/>
              </w:rPr>
            </w:pPr>
            <w:r w:rsidRPr="00CB4DAF">
              <w:rPr>
                <w:rFonts w:eastAsia="Calibri" w:cstheme="minorHAnsi"/>
                <w:color w:val="000000" w:themeColor="text1"/>
                <w:sz w:val="18"/>
                <w:szCs w:val="18"/>
                <w:lang w:val="ka-GE"/>
              </w:rPr>
              <w:t>2.6</w:t>
            </w:r>
          </w:p>
        </w:tc>
        <w:tc>
          <w:tcPr>
            <w:tcW w:w="391" w:type="pct"/>
          </w:tcPr>
          <w:p w14:paraId="65B1B111" w14:textId="77777777" w:rsidR="003842E6" w:rsidRPr="00CB4DAF" w:rsidRDefault="003842E6" w:rsidP="00CE1543">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18"/>
                <w:szCs w:val="18"/>
                <w:lang w:val="ka-GE"/>
              </w:rPr>
            </w:pPr>
            <w:r w:rsidRPr="00CB4DAF">
              <w:rPr>
                <w:rFonts w:eastAsia="Calibri" w:cstheme="minorHAnsi"/>
                <w:color w:val="000000" w:themeColor="text1"/>
                <w:sz w:val="18"/>
                <w:szCs w:val="18"/>
                <w:lang w:val="ka-GE"/>
              </w:rPr>
              <w:t>2.32</w:t>
            </w:r>
          </w:p>
        </w:tc>
        <w:tc>
          <w:tcPr>
            <w:tcW w:w="391" w:type="pct"/>
          </w:tcPr>
          <w:p w14:paraId="6CE2BACE" w14:textId="77777777" w:rsidR="003842E6" w:rsidRPr="00CB4DAF" w:rsidRDefault="003842E6" w:rsidP="00CE1543">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18"/>
                <w:szCs w:val="18"/>
                <w:lang w:val="ka-GE"/>
              </w:rPr>
            </w:pPr>
            <w:r w:rsidRPr="00CB4DAF">
              <w:rPr>
                <w:rFonts w:eastAsia="Calibri" w:cstheme="minorHAnsi"/>
                <w:color w:val="000000" w:themeColor="text1"/>
                <w:sz w:val="18"/>
                <w:szCs w:val="18"/>
                <w:lang w:val="ka-GE"/>
              </w:rPr>
              <w:t>2.04</w:t>
            </w:r>
          </w:p>
        </w:tc>
        <w:tc>
          <w:tcPr>
            <w:tcW w:w="391" w:type="pct"/>
          </w:tcPr>
          <w:p w14:paraId="512564AD" w14:textId="77777777" w:rsidR="003842E6" w:rsidRPr="00CB4DAF" w:rsidRDefault="003842E6" w:rsidP="00CE1543">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18"/>
                <w:szCs w:val="18"/>
                <w:lang w:val="ka-GE"/>
              </w:rPr>
            </w:pPr>
            <w:r w:rsidRPr="00CB4DAF">
              <w:rPr>
                <w:rFonts w:eastAsia="Calibri" w:cstheme="minorHAnsi"/>
                <w:color w:val="000000" w:themeColor="text1"/>
                <w:sz w:val="18"/>
                <w:szCs w:val="18"/>
                <w:lang w:val="ka-GE"/>
              </w:rPr>
              <w:t>1.76</w:t>
            </w:r>
          </w:p>
        </w:tc>
        <w:tc>
          <w:tcPr>
            <w:tcW w:w="656" w:type="pct"/>
          </w:tcPr>
          <w:p w14:paraId="229413CC" w14:textId="77777777" w:rsidR="003842E6" w:rsidRPr="00CB4DAF" w:rsidRDefault="003842E6" w:rsidP="00CE1543">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18"/>
                <w:szCs w:val="18"/>
                <w:lang w:val="ka-GE"/>
              </w:rPr>
            </w:pPr>
            <w:r w:rsidRPr="00CB4DAF">
              <w:rPr>
                <w:rFonts w:eastAsia="Calibri" w:cstheme="minorHAnsi"/>
                <w:color w:val="000000" w:themeColor="text1"/>
                <w:sz w:val="18"/>
                <w:szCs w:val="18"/>
                <w:lang w:val="ka-GE"/>
              </w:rPr>
              <w:t>1.49</w:t>
            </w:r>
          </w:p>
        </w:tc>
        <w:tc>
          <w:tcPr>
            <w:tcW w:w="391" w:type="pct"/>
          </w:tcPr>
          <w:p w14:paraId="25C82F82" w14:textId="77777777" w:rsidR="003842E6" w:rsidRPr="00CB4DAF" w:rsidRDefault="003842E6" w:rsidP="00CE1543">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18"/>
                <w:szCs w:val="18"/>
                <w:lang w:val="ka-GE"/>
              </w:rPr>
            </w:pPr>
            <w:r w:rsidRPr="00CB4DAF">
              <w:rPr>
                <w:rFonts w:eastAsia="Calibri" w:cstheme="minorHAnsi"/>
                <w:color w:val="000000" w:themeColor="text1"/>
                <w:sz w:val="18"/>
                <w:szCs w:val="18"/>
                <w:lang w:val="ka-GE"/>
              </w:rPr>
              <w:t>0(*)</w:t>
            </w:r>
          </w:p>
        </w:tc>
        <w:tc>
          <w:tcPr>
            <w:tcW w:w="523" w:type="pct"/>
          </w:tcPr>
          <w:p w14:paraId="0BD36320" w14:textId="77777777" w:rsidR="003842E6" w:rsidRPr="00CB4DAF" w:rsidRDefault="003842E6" w:rsidP="00CE1543">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sz w:val="18"/>
                <w:szCs w:val="18"/>
                <w:lang w:val="ka-GE"/>
              </w:rPr>
            </w:pPr>
            <w:r w:rsidRPr="00CB4DAF">
              <w:rPr>
                <w:rFonts w:eastAsia="Calibri" w:cstheme="minorHAnsi"/>
                <w:color w:val="000000" w:themeColor="text1"/>
                <w:sz w:val="18"/>
                <w:szCs w:val="18"/>
                <w:lang w:val="ka-GE"/>
              </w:rPr>
              <w:t>n/a</w:t>
            </w:r>
          </w:p>
        </w:tc>
      </w:tr>
    </w:tbl>
    <w:p w14:paraId="3E2D8270" w14:textId="77777777" w:rsidR="003842E6" w:rsidRPr="00CB4DAF" w:rsidRDefault="003842E6" w:rsidP="003842E6">
      <w:pPr>
        <w:rPr>
          <w:rFonts w:asciiTheme="minorHAnsi" w:eastAsia="Calibri" w:hAnsiTheme="minorHAnsi" w:cstheme="minorHAnsi"/>
          <w:color w:val="000000" w:themeColor="text1"/>
        </w:rPr>
      </w:pPr>
    </w:p>
    <w:p w14:paraId="15B702D5" w14:textId="1A454007" w:rsidR="000B041E" w:rsidRDefault="003842E6" w:rsidP="000F1096">
      <w:pPr>
        <w:widowControl w:val="0"/>
        <w:autoSpaceDE w:val="0"/>
        <w:autoSpaceDN w:val="0"/>
        <w:adjustRightInd w:val="0"/>
        <w:rPr>
          <w:rFonts w:eastAsia="SimSun"/>
          <w:color w:val="000000" w:themeColor="text1"/>
          <w:lang w:eastAsia="zh-CN"/>
        </w:rPr>
      </w:pPr>
      <w:r w:rsidRPr="00F556AD">
        <w:rPr>
          <w:rFonts w:eastAsia="SimSun"/>
          <w:color w:val="000000" w:themeColor="text1"/>
          <w:lang w:eastAsia="zh-CN"/>
        </w:rPr>
        <w:t>In 2030-2040 Georgia intends to carry out subsequent control steps to achieve a complete phase-out of HCFCs by gradually reducing 2.5 % of the baseline consumption for servicing needs until 2040.</w:t>
      </w:r>
    </w:p>
    <w:p w14:paraId="7DBDA85C" w14:textId="77777777" w:rsidR="000F1096" w:rsidRPr="000F1096" w:rsidRDefault="000F1096" w:rsidP="000F1096">
      <w:pPr>
        <w:widowControl w:val="0"/>
        <w:autoSpaceDE w:val="0"/>
        <w:autoSpaceDN w:val="0"/>
        <w:adjustRightInd w:val="0"/>
        <w:rPr>
          <w:rFonts w:eastAsia="SimSun"/>
          <w:color w:val="000000" w:themeColor="text1"/>
          <w:lang w:eastAsia="zh-CN"/>
        </w:rPr>
      </w:pPr>
    </w:p>
    <w:p w14:paraId="619C9ACC" w14:textId="24743C97" w:rsidR="000E78AF" w:rsidRPr="00D61CC5" w:rsidRDefault="00D61CC5" w:rsidP="00D80AA6">
      <w:pPr>
        <w:pStyle w:val="Caption"/>
        <w:rPr>
          <w:i w:val="0"/>
          <w:color w:val="000000" w:themeColor="text1"/>
          <w:lang w:eastAsia="zh-CN"/>
        </w:rPr>
      </w:pPr>
      <w:r>
        <w:rPr>
          <w:i w:val="0"/>
          <w:color w:val="000000" w:themeColor="text1"/>
        </w:rPr>
        <w:t xml:space="preserve">                     </w:t>
      </w:r>
      <w:r w:rsidR="00D80AA6" w:rsidRPr="00D61CC5">
        <w:rPr>
          <w:i w:val="0"/>
          <w:color w:val="000000" w:themeColor="text1"/>
        </w:rPr>
        <w:t xml:space="preserve">Table </w:t>
      </w:r>
      <w:r w:rsidR="00954F05" w:rsidRPr="00D61CC5">
        <w:rPr>
          <w:i w:val="0"/>
          <w:color w:val="000000" w:themeColor="text1"/>
        </w:rPr>
        <w:t>1</w:t>
      </w:r>
      <w:r w:rsidR="00E96908">
        <w:rPr>
          <w:i w:val="0"/>
          <w:color w:val="000000" w:themeColor="text1"/>
        </w:rPr>
        <w:t>2</w:t>
      </w:r>
      <w:r w:rsidR="000E78AF" w:rsidRPr="00D61CC5">
        <w:rPr>
          <w:i w:val="0"/>
          <w:color w:val="000000" w:themeColor="text1"/>
          <w:lang w:eastAsia="zh-CN"/>
        </w:rPr>
        <w:t>: Components of HPMP Stage I</w:t>
      </w:r>
      <w:r w:rsidR="00954F05" w:rsidRPr="00D61CC5">
        <w:rPr>
          <w:i w:val="0"/>
          <w:color w:val="000000" w:themeColor="text1"/>
          <w:lang w:eastAsia="zh-CN"/>
        </w:rPr>
        <w:t>I, Tranche 2</w:t>
      </w:r>
      <w:r w:rsidR="000E78AF" w:rsidRPr="00D61CC5">
        <w:rPr>
          <w:i w:val="0"/>
          <w:color w:val="000000" w:themeColor="text1"/>
          <w:lang w:eastAsia="zh-CN"/>
        </w:rPr>
        <w:t xml:space="preserve"> </w:t>
      </w:r>
      <w:r w:rsidR="00D777EA" w:rsidRPr="00D61CC5">
        <w:rPr>
          <w:i w:val="0"/>
          <w:color w:val="000000" w:themeColor="text1"/>
          <w:lang w:eastAsia="zh-CN"/>
        </w:rPr>
        <w:t>as approved by the 8</w:t>
      </w:r>
      <w:r w:rsidR="000B041E" w:rsidRPr="00D61CC5">
        <w:rPr>
          <w:i w:val="0"/>
          <w:color w:val="000000" w:themeColor="text1"/>
          <w:lang w:eastAsia="zh-CN"/>
        </w:rPr>
        <w:t>8</w:t>
      </w:r>
      <w:r w:rsidR="00D777EA" w:rsidRPr="00D61CC5">
        <w:rPr>
          <w:i w:val="0"/>
          <w:color w:val="000000" w:themeColor="text1"/>
          <w:lang w:eastAsia="zh-CN"/>
        </w:rPr>
        <w:t>th EXCOM</w:t>
      </w:r>
    </w:p>
    <w:tbl>
      <w:tblPr>
        <w:tblW w:w="96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7004"/>
        <w:gridCol w:w="1440"/>
      </w:tblGrid>
      <w:tr w:rsidR="000061E6" w:rsidRPr="00771A4C" w14:paraId="16F85C2D" w14:textId="77777777" w:rsidTr="000061E6">
        <w:trPr>
          <w:trHeight w:val="406"/>
        </w:trPr>
        <w:tc>
          <w:tcPr>
            <w:tcW w:w="1170" w:type="dxa"/>
            <w:shd w:val="clear" w:color="auto" w:fill="C6D9F1" w:themeFill="text2" w:themeFillTint="33"/>
          </w:tcPr>
          <w:p w14:paraId="3FA2D379" w14:textId="21C12B04" w:rsidR="000061E6" w:rsidRPr="00A87431" w:rsidRDefault="000061E6" w:rsidP="00A7006D">
            <w:pPr>
              <w:rPr>
                <w:b/>
                <w:bCs/>
                <w:sz w:val="18"/>
                <w:szCs w:val="18"/>
                <w:lang w:val="en-US" w:eastAsia="ro-RO"/>
              </w:rPr>
            </w:pPr>
            <w:bookmarkStart w:id="19" w:name="_Hlk177575951"/>
            <w:r>
              <w:rPr>
                <w:b/>
                <w:bCs/>
                <w:sz w:val="18"/>
                <w:szCs w:val="18"/>
                <w:lang w:val="en-US" w:eastAsia="ro-RO"/>
              </w:rPr>
              <w:t>Component</w:t>
            </w:r>
          </w:p>
        </w:tc>
        <w:tc>
          <w:tcPr>
            <w:tcW w:w="7004" w:type="dxa"/>
            <w:shd w:val="clear" w:color="auto" w:fill="C6D9F1" w:themeFill="text2" w:themeFillTint="33"/>
            <w:vAlign w:val="center"/>
            <w:hideMark/>
          </w:tcPr>
          <w:p w14:paraId="6EEC20EB" w14:textId="032976E9" w:rsidR="000061E6" w:rsidRPr="00A87431" w:rsidRDefault="000061E6" w:rsidP="00A7006D">
            <w:pPr>
              <w:rPr>
                <w:b/>
                <w:bCs/>
                <w:sz w:val="18"/>
                <w:szCs w:val="18"/>
                <w:lang w:val="en-US" w:eastAsia="ro-RO"/>
              </w:rPr>
            </w:pPr>
            <w:bookmarkStart w:id="20" w:name="_Hlk177402582"/>
            <w:r>
              <w:rPr>
                <w:b/>
                <w:bCs/>
                <w:sz w:val="18"/>
                <w:szCs w:val="18"/>
                <w:lang w:val="en-US" w:eastAsia="ro-RO"/>
              </w:rPr>
              <w:t>Activity</w:t>
            </w:r>
          </w:p>
        </w:tc>
        <w:tc>
          <w:tcPr>
            <w:tcW w:w="1440" w:type="dxa"/>
            <w:shd w:val="clear" w:color="auto" w:fill="C6D9F1" w:themeFill="text2" w:themeFillTint="33"/>
            <w:vAlign w:val="center"/>
            <w:hideMark/>
          </w:tcPr>
          <w:p w14:paraId="1575A1D0" w14:textId="77777777" w:rsidR="000061E6" w:rsidRDefault="000061E6" w:rsidP="00A7006D">
            <w:pPr>
              <w:ind w:left="-36"/>
              <w:jc w:val="center"/>
              <w:rPr>
                <w:b/>
                <w:bCs/>
                <w:sz w:val="18"/>
                <w:szCs w:val="18"/>
                <w:lang w:val="en-US" w:eastAsia="ro-RO"/>
              </w:rPr>
            </w:pPr>
            <w:r w:rsidRPr="00A87431">
              <w:rPr>
                <w:b/>
                <w:bCs/>
                <w:sz w:val="18"/>
                <w:szCs w:val="18"/>
                <w:lang w:val="en-US" w:eastAsia="ro-RO"/>
              </w:rPr>
              <w:t xml:space="preserve">II tranche </w:t>
            </w:r>
          </w:p>
          <w:p w14:paraId="6A04CBB4" w14:textId="53316210" w:rsidR="009D54A4" w:rsidRPr="00A87431" w:rsidRDefault="009D54A4" w:rsidP="00A7006D">
            <w:pPr>
              <w:ind w:left="-36"/>
              <w:jc w:val="center"/>
              <w:rPr>
                <w:b/>
                <w:bCs/>
                <w:sz w:val="18"/>
                <w:szCs w:val="18"/>
                <w:lang w:val="en-US" w:eastAsia="ro-RO"/>
              </w:rPr>
            </w:pPr>
            <w:r>
              <w:rPr>
                <w:b/>
                <w:bCs/>
                <w:sz w:val="18"/>
                <w:szCs w:val="18"/>
                <w:lang w:val="en-US" w:eastAsia="ro-RO"/>
              </w:rPr>
              <w:t>2025-2027</w:t>
            </w:r>
          </w:p>
        </w:tc>
      </w:tr>
      <w:tr w:rsidR="000061E6" w:rsidRPr="00771A4C" w14:paraId="3982276A" w14:textId="77777777" w:rsidTr="000061E6">
        <w:trPr>
          <w:trHeight w:val="193"/>
        </w:trPr>
        <w:tc>
          <w:tcPr>
            <w:tcW w:w="1170" w:type="dxa"/>
          </w:tcPr>
          <w:p w14:paraId="25AF7BEB" w14:textId="0295FE32" w:rsidR="000061E6" w:rsidRPr="009D54A4" w:rsidRDefault="000061E6" w:rsidP="00A7006D">
            <w:pPr>
              <w:jc w:val="left"/>
              <w:rPr>
                <w:color w:val="000000"/>
                <w:sz w:val="18"/>
                <w:szCs w:val="18"/>
                <w:lang w:val="en-US" w:eastAsia="ro-RO"/>
              </w:rPr>
            </w:pPr>
            <w:r w:rsidRPr="009D54A4">
              <w:rPr>
                <w:b/>
                <w:bCs/>
                <w:sz w:val="18"/>
                <w:szCs w:val="18"/>
                <w:lang w:val="en-US"/>
              </w:rPr>
              <w:t>Component 1: Legal and Regulatory Measures</w:t>
            </w:r>
          </w:p>
        </w:tc>
        <w:tc>
          <w:tcPr>
            <w:tcW w:w="7004" w:type="dxa"/>
            <w:shd w:val="clear" w:color="auto" w:fill="auto"/>
            <w:vAlign w:val="center"/>
            <w:hideMark/>
          </w:tcPr>
          <w:p w14:paraId="50F4E085" w14:textId="5CC95001" w:rsidR="000061E6" w:rsidRPr="00771A4C" w:rsidRDefault="000061E6" w:rsidP="00A7006D">
            <w:pPr>
              <w:jc w:val="left"/>
              <w:rPr>
                <w:color w:val="000000"/>
                <w:sz w:val="18"/>
                <w:szCs w:val="18"/>
                <w:lang w:val="en-US" w:eastAsia="ro-RO"/>
              </w:rPr>
            </w:pPr>
            <w:r w:rsidRPr="000061E6">
              <w:rPr>
                <w:color w:val="000000"/>
                <w:sz w:val="18"/>
                <w:szCs w:val="18"/>
                <w:lang w:val="en-US" w:eastAsia="ro-RO"/>
              </w:rPr>
              <w:t>Activity 1.4. Develop regulations for labelling reclaimed refrigerants and placing them on the market</w:t>
            </w:r>
          </w:p>
        </w:tc>
        <w:tc>
          <w:tcPr>
            <w:tcW w:w="1440" w:type="dxa"/>
            <w:shd w:val="clear" w:color="auto" w:fill="auto"/>
            <w:vAlign w:val="center"/>
            <w:hideMark/>
          </w:tcPr>
          <w:p w14:paraId="4F2F629B" w14:textId="343E40FE" w:rsidR="000061E6" w:rsidRPr="00771A4C" w:rsidRDefault="009D54A4" w:rsidP="00A7006D">
            <w:pPr>
              <w:jc w:val="center"/>
              <w:rPr>
                <w:color w:val="000000"/>
                <w:sz w:val="18"/>
                <w:szCs w:val="18"/>
                <w:lang w:val="en-US" w:eastAsia="ro-RO"/>
              </w:rPr>
            </w:pPr>
            <w:r>
              <w:rPr>
                <w:color w:val="000000"/>
                <w:sz w:val="18"/>
                <w:szCs w:val="18"/>
              </w:rPr>
              <w:t>4,000</w:t>
            </w:r>
          </w:p>
        </w:tc>
      </w:tr>
      <w:tr w:rsidR="009D54A4" w:rsidRPr="00771A4C" w14:paraId="22E2A9B7" w14:textId="77777777" w:rsidTr="009D54A4">
        <w:trPr>
          <w:trHeight w:val="193"/>
        </w:trPr>
        <w:tc>
          <w:tcPr>
            <w:tcW w:w="1170" w:type="dxa"/>
            <w:shd w:val="clear" w:color="auto" w:fill="D9D9D9" w:themeFill="background1" w:themeFillShade="D9"/>
          </w:tcPr>
          <w:p w14:paraId="1048E45E" w14:textId="76729ECE" w:rsidR="009D54A4" w:rsidRPr="009D54A4" w:rsidRDefault="009D54A4" w:rsidP="00A7006D">
            <w:pPr>
              <w:jc w:val="left"/>
              <w:rPr>
                <w:b/>
                <w:bCs/>
                <w:sz w:val="18"/>
                <w:szCs w:val="18"/>
                <w:lang w:val="en-US"/>
              </w:rPr>
            </w:pPr>
            <w:r w:rsidRPr="009D54A4">
              <w:rPr>
                <w:b/>
                <w:bCs/>
                <w:sz w:val="18"/>
                <w:szCs w:val="18"/>
                <w:lang w:val="en-US"/>
              </w:rPr>
              <w:t>Sub</w:t>
            </w:r>
            <w:r>
              <w:rPr>
                <w:b/>
                <w:bCs/>
                <w:sz w:val="18"/>
                <w:szCs w:val="18"/>
                <w:lang w:val="en-US"/>
              </w:rPr>
              <w:t>-</w:t>
            </w:r>
            <w:r w:rsidRPr="009D54A4">
              <w:rPr>
                <w:b/>
                <w:bCs/>
                <w:sz w:val="18"/>
                <w:szCs w:val="18"/>
                <w:lang w:val="en-US"/>
              </w:rPr>
              <w:t xml:space="preserve">total comp. </w:t>
            </w:r>
            <w:r>
              <w:rPr>
                <w:b/>
                <w:bCs/>
                <w:sz w:val="18"/>
                <w:szCs w:val="18"/>
                <w:lang w:val="en-US"/>
              </w:rPr>
              <w:t>1</w:t>
            </w:r>
          </w:p>
        </w:tc>
        <w:tc>
          <w:tcPr>
            <w:tcW w:w="7004" w:type="dxa"/>
            <w:shd w:val="clear" w:color="auto" w:fill="D9D9D9" w:themeFill="background1" w:themeFillShade="D9"/>
            <w:vAlign w:val="center"/>
          </w:tcPr>
          <w:p w14:paraId="576D93E2" w14:textId="77777777" w:rsidR="009D54A4" w:rsidRPr="000061E6" w:rsidRDefault="009D54A4" w:rsidP="00A7006D">
            <w:pPr>
              <w:jc w:val="left"/>
              <w:rPr>
                <w:color w:val="000000"/>
                <w:sz w:val="18"/>
                <w:szCs w:val="18"/>
                <w:lang w:val="en-US" w:eastAsia="ro-RO"/>
              </w:rPr>
            </w:pPr>
          </w:p>
        </w:tc>
        <w:tc>
          <w:tcPr>
            <w:tcW w:w="1440" w:type="dxa"/>
            <w:shd w:val="clear" w:color="auto" w:fill="D9D9D9" w:themeFill="background1" w:themeFillShade="D9"/>
            <w:vAlign w:val="center"/>
          </w:tcPr>
          <w:p w14:paraId="21CF259D" w14:textId="5BC219BC" w:rsidR="009D54A4" w:rsidRPr="009D54A4" w:rsidRDefault="009D54A4" w:rsidP="00A7006D">
            <w:pPr>
              <w:jc w:val="center"/>
              <w:rPr>
                <w:b/>
                <w:bCs/>
                <w:color w:val="000000"/>
                <w:sz w:val="18"/>
                <w:szCs w:val="18"/>
              </w:rPr>
            </w:pPr>
            <w:r w:rsidRPr="009D54A4">
              <w:rPr>
                <w:b/>
                <w:bCs/>
                <w:color w:val="000000"/>
                <w:sz w:val="18"/>
                <w:szCs w:val="18"/>
              </w:rPr>
              <w:t>4,000</w:t>
            </w:r>
          </w:p>
        </w:tc>
      </w:tr>
      <w:tr w:rsidR="009D54A4" w:rsidRPr="00771A4C" w14:paraId="56227BA6" w14:textId="77777777" w:rsidTr="000061E6">
        <w:trPr>
          <w:trHeight w:val="193"/>
        </w:trPr>
        <w:tc>
          <w:tcPr>
            <w:tcW w:w="1170" w:type="dxa"/>
            <w:vMerge w:val="restart"/>
          </w:tcPr>
          <w:p w14:paraId="26B6FFE9" w14:textId="77777777" w:rsidR="009D54A4" w:rsidRDefault="009D54A4" w:rsidP="00A7006D">
            <w:pPr>
              <w:jc w:val="left"/>
              <w:rPr>
                <w:b/>
                <w:bCs/>
                <w:sz w:val="18"/>
                <w:szCs w:val="18"/>
                <w:lang w:val="en-US"/>
              </w:rPr>
            </w:pPr>
          </w:p>
          <w:p w14:paraId="52F8D7ED" w14:textId="77777777" w:rsidR="009D54A4" w:rsidRDefault="009D54A4" w:rsidP="00A7006D">
            <w:pPr>
              <w:jc w:val="left"/>
              <w:rPr>
                <w:b/>
                <w:bCs/>
                <w:sz w:val="18"/>
                <w:szCs w:val="18"/>
                <w:lang w:val="en-US"/>
              </w:rPr>
            </w:pPr>
          </w:p>
          <w:p w14:paraId="6F811749" w14:textId="77777777" w:rsidR="009D54A4" w:rsidRDefault="009D54A4" w:rsidP="00A7006D">
            <w:pPr>
              <w:jc w:val="left"/>
              <w:rPr>
                <w:b/>
                <w:bCs/>
                <w:sz w:val="18"/>
                <w:szCs w:val="18"/>
                <w:lang w:val="en-US"/>
              </w:rPr>
            </w:pPr>
          </w:p>
          <w:p w14:paraId="040A475F" w14:textId="77777777" w:rsidR="009D54A4" w:rsidRDefault="009D54A4" w:rsidP="00A7006D">
            <w:pPr>
              <w:jc w:val="left"/>
              <w:rPr>
                <w:b/>
                <w:bCs/>
                <w:sz w:val="18"/>
                <w:szCs w:val="18"/>
                <w:lang w:val="en-US"/>
              </w:rPr>
            </w:pPr>
          </w:p>
          <w:p w14:paraId="2F11EC29" w14:textId="77777777" w:rsidR="009D54A4" w:rsidRDefault="009D54A4" w:rsidP="00A7006D">
            <w:pPr>
              <w:jc w:val="left"/>
              <w:rPr>
                <w:b/>
                <w:bCs/>
                <w:sz w:val="18"/>
                <w:szCs w:val="18"/>
                <w:lang w:val="en-US"/>
              </w:rPr>
            </w:pPr>
          </w:p>
          <w:p w14:paraId="0201CA58" w14:textId="1960BBD0" w:rsidR="009D54A4" w:rsidRPr="009D54A4" w:rsidRDefault="009D54A4" w:rsidP="00A7006D">
            <w:pPr>
              <w:jc w:val="left"/>
              <w:rPr>
                <w:color w:val="000000"/>
                <w:sz w:val="18"/>
                <w:szCs w:val="18"/>
                <w:lang w:val="en-US" w:eastAsia="ro-RO"/>
              </w:rPr>
            </w:pPr>
            <w:r w:rsidRPr="009D54A4">
              <w:rPr>
                <w:b/>
                <w:bCs/>
                <w:sz w:val="18"/>
                <w:szCs w:val="18"/>
                <w:lang w:val="en-US"/>
              </w:rPr>
              <w:t>Component 2: Capacity building training</w:t>
            </w:r>
          </w:p>
        </w:tc>
        <w:tc>
          <w:tcPr>
            <w:tcW w:w="7004" w:type="dxa"/>
            <w:shd w:val="clear" w:color="auto" w:fill="auto"/>
            <w:vAlign w:val="center"/>
            <w:hideMark/>
          </w:tcPr>
          <w:p w14:paraId="512ECDF2" w14:textId="29E2277F" w:rsidR="009D54A4" w:rsidRPr="00771A4C" w:rsidRDefault="009D54A4" w:rsidP="00A7006D">
            <w:pPr>
              <w:jc w:val="left"/>
              <w:rPr>
                <w:color w:val="000000"/>
                <w:sz w:val="18"/>
                <w:szCs w:val="18"/>
                <w:lang w:val="en-US" w:eastAsia="ro-RO"/>
              </w:rPr>
            </w:pPr>
            <w:r w:rsidRPr="009D54A4">
              <w:rPr>
                <w:color w:val="000000"/>
                <w:sz w:val="18"/>
                <w:szCs w:val="18"/>
                <w:lang w:val="en-US" w:eastAsia="ro-RO"/>
              </w:rPr>
              <w:lastRenderedPageBreak/>
              <w:t>Activity 2.2: Develop a guideline on refrigerant leakage control and safe handling of flammable/toxic refrigerants and mini demonstration project on zero leaks.</w:t>
            </w:r>
          </w:p>
        </w:tc>
        <w:tc>
          <w:tcPr>
            <w:tcW w:w="1440" w:type="dxa"/>
            <w:shd w:val="clear" w:color="auto" w:fill="auto"/>
            <w:vAlign w:val="center"/>
            <w:hideMark/>
          </w:tcPr>
          <w:p w14:paraId="059DADD2" w14:textId="4FAA5F5A" w:rsidR="009D54A4" w:rsidRPr="00771A4C" w:rsidRDefault="009D54A4" w:rsidP="00A7006D">
            <w:pPr>
              <w:jc w:val="center"/>
              <w:rPr>
                <w:color w:val="000000"/>
                <w:sz w:val="18"/>
                <w:szCs w:val="18"/>
                <w:lang w:val="en-US" w:eastAsia="ro-RO"/>
              </w:rPr>
            </w:pPr>
            <w:r>
              <w:rPr>
                <w:color w:val="000000"/>
                <w:sz w:val="18"/>
                <w:szCs w:val="18"/>
              </w:rPr>
              <w:t>2,250</w:t>
            </w:r>
          </w:p>
        </w:tc>
      </w:tr>
      <w:tr w:rsidR="009D54A4" w:rsidRPr="00771A4C" w14:paraId="15A4DFCD" w14:textId="77777777" w:rsidTr="000061E6">
        <w:trPr>
          <w:trHeight w:val="211"/>
        </w:trPr>
        <w:tc>
          <w:tcPr>
            <w:tcW w:w="1170" w:type="dxa"/>
            <w:vMerge/>
          </w:tcPr>
          <w:p w14:paraId="66E096AA" w14:textId="77777777" w:rsidR="009D54A4" w:rsidRPr="00771A4C" w:rsidRDefault="009D54A4" w:rsidP="00A7006D">
            <w:pPr>
              <w:jc w:val="left"/>
              <w:rPr>
                <w:color w:val="000000"/>
                <w:sz w:val="18"/>
                <w:szCs w:val="18"/>
                <w:lang w:val="en-US" w:eastAsia="ro-RO"/>
              </w:rPr>
            </w:pPr>
          </w:p>
        </w:tc>
        <w:tc>
          <w:tcPr>
            <w:tcW w:w="7004" w:type="dxa"/>
            <w:shd w:val="clear" w:color="auto" w:fill="auto"/>
            <w:vAlign w:val="center"/>
            <w:hideMark/>
          </w:tcPr>
          <w:p w14:paraId="03EE81B9" w14:textId="2F899022" w:rsidR="009D54A4" w:rsidRPr="00771A4C" w:rsidRDefault="009D54A4" w:rsidP="00A7006D">
            <w:pPr>
              <w:jc w:val="left"/>
              <w:rPr>
                <w:color w:val="000000"/>
                <w:sz w:val="18"/>
                <w:szCs w:val="18"/>
                <w:lang w:val="en-US" w:eastAsia="ro-RO"/>
              </w:rPr>
            </w:pPr>
            <w:r w:rsidRPr="009D54A4">
              <w:rPr>
                <w:color w:val="000000"/>
                <w:sz w:val="18"/>
                <w:szCs w:val="18"/>
                <w:lang w:val="en-US" w:eastAsia="ro-RO"/>
              </w:rPr>
              <w:t>Activity 2.3: Organize 8 training courses (4-days each) for up to 200 technicians on good refrigeration practices and alternative refrigerants</w:t>
            </w:r>
          </w:p>
        </w:tc>
        <w:tc>
          <w:tcPr>
            <w:tcW w:w="1440" w:type="dxa"/>
            <w:shd w:val="clear" w:color="auto" w:fill="auto"/>
            <w:vAlign w:val="center"/>
            <w:hideMark/>
          </w:tcPr>
          <w:p w14:paraId="6578180F" w14:textId="4B54190B" w:rsidR="009D54A4" w:rsidRPr="00771A4C" w:rsidRDefault="009D54A4" w:rsidP="00A7006D">
            <w:pPr>
              <w:jc w:val="center"/>
              <w:rPr>
                <w:color w:val="000000"/>
                <w:sz w:val="18"/>
                <w:szCs w:val="18"/>
                <w:lang w:val="en-US" w:eastAsia="ro-RO"/>
              </w:rPr>
            </w:pPr>
            <w:r>
              <w:rPr>
                <w:color w:val="000000"/>
                <w:sz w:val="18"/>
                <w:szCs w:val="18"/>
              </w:rPr>
              <w:t>14,000</w:t>
            </w:r>
          </w:p>
        </w:tc>
      </w:tr>
      <w:tr w:rsidR="009D54A4" w:rsidRPr="00771A4C" w14:paraId="07C48553" w14:textId="77777777" w:rsidTr="000061E6">
        <w:trPr>
          <w:trHeight w:val="193"/>
        </w:trPr>
        <w:tc>
          <w:tcPr>
            <w:tcW w:w="1170" w:type="dxa"/>
            <w:vMerge/>
          </w:tcPr>
          <w:p w14:paraId="29CB915B" w14:textId="77777777" w:rsidR="009D54A4" w:rsidRPr="00771A4C" w:rsidRDefault="009D54A4" w:rsidP="00A7006D">
            <w:pPr>
              <w:jc w:val="left"/>
              <w:rPr>
                <w:color w:val="000000"/>
                <w:sz w:val="18"/>
                <w:szCs w:val="18"/>
                <w:lang w:val="en-US" w:eastAsia="ro-RO"/>
              </w:rPr>
            </w:pPr>
          </w:p>
        </w:tc>
        <w:tc>
          <w:tcPr>
            <w:tcW w:w="7004" w:type="dxa"/>
            <w:shd w:val="clear" w:color="auto" w:fill="auto"/>
            <w:vAlign w:val="center"/>
            <w:hideMark/>
          </w:tcPr>
          <w:p w14:paraId="712A7E75" w14:textId="030BA251" w:rsidR="009D54A4" w:rsidRPr="00771A4C" w:rsidRDefault="009D54A4" w:rsidP="00A7006D">
            <w:pPr>
              <w:jc w:val="left"/>
              <w:rPr>
                <w:color w:val="000000"/>
                <w:sz w:val="18"/>
                <w:szCs w:val="18"/>
                <w:lang w:val="en-US" w:eastAsia="ro-RO"/>
              </w:rPr>
            </w:pPr>
            <w:r w:rsidRPr="009D54A4">
              <w:rPr>
                <w:color w:val="000000"/>
                <w:sz w:val="18"/>
                <w:szCs w:val="18"/>
                <w:lang w:val="en-US" w:eastAsia="ro-RO"/>
              </w:rPr>
              <w:t>Activity 2.5. Organize 8 trainings (2-days each) on the import controls for ODS/non-ODS for up to 250 customs officers. Develop Customs Quick Tool for Screening ODS and print around 1,000 copies.</w:t>
            </w:r>
          </w:p>
        </w:tc>
        <w:tc>
          <w:tcPr>
            <w:tcW w:w="1440" w:type="dxa"/>
            <w:shd w:val="clear" w:color="auto" w:fill="auto"/>
            <w:vAlign w:val="center"/>
            <w:hideMark/>
          </w:tcPr>
          <w:p w14:paraId="354BB01C" w14:textId="046D0357" w:rsidR="009D54A4" w:rsidRPr="00771A4C" w:rsidRDefault="009D54A4" w:rsidP="009D54A4">
            <w:pPr>
              <w:rPr>
                <w:color w:val="000000"/>
                <w:sz w:val="18"/>
                <w:szCs w:val="18"/>
                <w:lang w:val="en-US" w:eastAsia="ro-RO"/>
              </w:rPr>
            </w:pPr>
            <w:r>
              <w:rPr>
                <w:color w:val="000000"/>
                <w:sz w:val="18"/>
                <w:szCs w:val="18"/>
              </w:rPr>
              <w:t xml:space="preserve">         4,500</w:t>
            </w:r>
          </w:p>
        </w:tc>
      </w:tr>
      <w:tr w:rsidR="009D54A4" w:rsidRPr="00771A4C" w14:paraId="1928FD91" w14:textId="77777777" w:rsidTr="000061E6">
        <w:trPr>
          <w:trHeight w:val="193"/>
        </w:trPr>
        <w:tc>
          <w:tcPr>
            <w:tcW w:w="1170" w:type="dxa"/>
            <w:vMerge/>
          </w:tcPr>
          <w:p w14:paraId="2A0D05C4" w14:textId="77777777" w:rsidR="009D54A4" w:rsidRPr="00771A4C" w:rsidRDefault="009D54A4" w:rsidP="009D54A4">
            <w:pPr>
              <w:jc w:val="left"/>
              <w:rPr>
                <w:color w:val="000000"/>
                <w:sz w:val="18"/>
                <w:szCs w:val="18"/>
                <w:lang w:val="en-US" w:eastAsia="ro-RO"/>
              </w:rPr>
            </w:pPr>
          </w:p>
        </w:tc>
        <w:tc>
          <w:tcPr>
            <w:tcW w:w="7004" w:type="dxa"/>
            <w:shd w:val="clear" w:color="auto" w:fill="auto"/>
            <w:vAlign w:val="center"/>
            <w:hideMark/>
          </w:tcPr>
          <w:p w14:paraId="193B65F2" w14:textId="19B4657D" w:rsidR="009D54A4" w:rsidRPr="00771A4C" w:rsidRDefault="009D54A4" w:rsidP="009D54A4">
            <w:pPr>
              <w:jc w:val="left"/>
              <w:rPr>
                <w:color w:val="000000"/>
                <w:sz w:val="18"/>
                <w:szCs w:val="18"/>
                <w:lang w:val="en-US" w:eastAsia="ro-RO"/>
              </w:rPr>
            </w:pPr>
            <w:r w:rsidRPr="009D54A4">
              <w:rPr>
                <w:color w:val="000000"/>
                <w:sz w:val="18"/>
                <w:szCs w:val="18"/>
                <w:lang w:val="en-US" w:eastAsia="ro-RO"/>
              </w:rPr>
              <w:t xml:space="preserve">Activity 2.6. Organize 8 two days trainings (2-days each) for up to 150 environmental inspectors on the control of compliance with the ODS regulations </w:t>
            </w:r>
          </w:p>
        </w:tc>
        <w:tc>
          <w:tcPr>
            <w:tcW w:w="1440" w:type="dxa"/>
            <w:shd w:val="clear" w:color="auto" w:fill="auto"/>
            <w:vAlign w:val="center"/>
            <w:hideMark/>
          </w:tcPr>
          <w:p w14:paraId="45D3E9B7" w14:textId="196238ED" w:rsidR="009D54A4" w:rsidRPr="00771A4C" w:rsidRDefault="009D54A4" w:rsidP="009D54A4">
            <w:pPr>
              <w:jc w:val="center"/>
              <w:rPr>
                <w:color w:val="000000"/>
                <w:sz w:val="18"/>
                <w:szCs w:val="18"/>
                <w:lang w:val="en-US" w:eastAsia="ro-RO"/>
              </w:rPr>
            </w:pPr>
            <w:r>
              <w:rPr>
                <w:color w:val="000000"/>
                <w:sz w:val="18"/>
                <w:szCs w:val="18"/>
              </w:rPr>
              <w:t>7,000</w:t>
            </w:r>
          </w:p>
        </w:tc>
      </w:tr>
      <w:tr w:rsidR="009D54A4" w:rsidRPr="00771A4C" w14:paraId="480CF396" w14:textId="77777777" w:rsidTr="000061E6">
        <w:trPr>
          <w:trHeight w:val="193"/>
        </w:trPr>
        <w:tc>
          <w:tcPr>
            <w:tcW w:w="1170" w:type="dxa"/>
            <w:vMerge/>
          </w:tcPr>
          <w:p w14:paraId="171EC3B1" w14:textId="77777777" w:rsidR="009D54A4" w:rsidRPr="00771A4C" w:rsidRDefault="009D54A4" w:rsidP="009D54A4">
            <w:pPr>
              <w:jc w:val="left"/>
              <w:rPr>
                <w:color w:val="000000"/>
                <w:sz w:val="18"/>
                <w:szCs w:val="18"/>
                <w:lang w:val="en-US" w:eastAsia="ro-RO"/>
              </w:rPr>
            </w:pPr>
          </w:p>
        </w:tc>
        <w:tc>
          <w:tcPr>
            <w:tcW w:w="7004" w:type="dxa"/>
            <w:shd w:val="clear" w:color="auto" w:fill="auto"/>
            <w:vAlign w:val="center"/>
            <w:hideMark/>
          </w:tcPr>
          <w:p w14:paraId="54947293" w14:textId="5B5DF3E4" w:rsidR="009D54A4" w:rsidRPr="00771A4C" w:rsidRDefault="009D54A4" w:rsidP="009D54A4">
            <w:pPr>
              <w:jc w:val="left"/>
              <w:rPr>
                <w:color w:val="000000"/>
                <w:sz w:val="18"/>
                <w:szCs w:val="18"/>
                <w:lang w:val="en-US" w:eastAsia="ro-RO"/>
              </w:rPr>
            </w:pPr>
            <w:r w:rsidRPr="009D54A4">
              <w:rPr>
                <w:color w:val="000000"/>
                <w:sz w:val="18"/>
                <w:szCs w:val="18"/>
                <w:lang w:val="en-US" w:eastAsia="ro-RO"/>
              </w:rPr>
              <w:t xml:space="preserve">Activity 2.7. Carry out online technical assistance </w:t>
            </w:r>
            <w:proofErr w:type="spellStart"/>
            <w:r w:rsidRPr="009D54A4">
              <w:rPr>
                <w:color w:val="000000"/>
                <w:sz w:val="18"/>
                <w:szCs w:val="18"/>
                <w:lang w:val="en-US" w:eastAsia="ro-RO"/>
              </w:rPr>
              <w:t>programme</w:t>
            </w:r>
            <w:proofErr w:type="spellEnd"/>
            <w:r w:rsidRPr="009D54A4">
              <w:rPr>
                <w:color w:val="000000"/>
                <w:sz w:val="18"/>
                <w:szCs w:val="18"/>
                <w:lang w:val="en-US" w:eastAsia="ro-RO"/>
              </w:rPr>
              <w:t xml:space="preserve"> for technicians /end-users of RAC during up to 2 years. Raise awareness of SH on feasible business model for R&amp;R infrastructure; Develop and implement communication plan.</w:t>
            </w:r>
          </w:p>
        </w:tc>
        <w:tc>
          <w:tcPr>
            <w:tcW w:w="1440" w:type="dxa"/>
            <w:shd w:val="clear" w:color="auto" w:fill="auto"/>
            <w:vAlign w:val="center"/>
            <w:hideMark/>
          </w:tcPr>
          <w:p w14:paraId="3469297B" w14:textId="1A870C8F" w:rsidR="009D54A4" w:rsidRPr="00771A4C" w:rsidRDefault="009D54A4" w:rsidP="009D54A4">
            <w:pPr>
              <w:jc w:val="center"/>
              <w:rPr>
                <w:color w:val="000000"/>
                <w:sz w:val="18"/>
                <w:szCs w:val="18"/>
                <w:lang w:val="en-US" w:eastAsia="ro-RO"/>
              </w:rPr>
            </w:pPr>
            <w:r>
              <w:rPr>
                <w:color w:val="000000"/>
                <w:sz w:val="18"/>
                <w:szCs w:val="18"/>
              </w:rPr>
              <w:t>24,600</w:t>
            </w:r>
          </w:p>
        </w:tc>
      </w:tr>
      <w:tr w:rsidR="009D54A4" w:rsidRPr="00771A4C" w14:paraId="56E3FC9E" w14:textId="77777777" w:rsidTr="000061E6">
        <w:trPr>
          <w:trHeight w:val="193"/>
        </w:trPr>
        <w:tc>
          <w:tcPr>
            <w:tcW w:w="1170" w:type="dxa"/>
            <w:vMerge/>
          </w:tcPr>
          <w:p w14:paraId="14152B9D" w14:textId="77777777" w:rsidR="009D54A4" w:rsidRPr="00771A4C" w:rsidRDefault="009D54A4" w:rsidP="009D54A4">
            <w:pPr>
              <w:jc w:val="left"/>
              <w:rPr>
                <w:color w:val="000000"/>
                <w:sz w:val="18"/>
                <w:szCs w:val="18"/>
                <w:lang w:val="en-US" w:eastAsia="ro-RO"/>
              </w:rPr>
            </w:pPr>
          </w:p>
        </w:tc>
        <w:tc>
          <w:tcPr>
            <w:tcW w:w="7004" w:type="dxa"/>
            <w:shd w:val="clear" w:color="auto" w:fill="auto"/>
            <w:vAlign w:val="center"/>
          </w:tcPr>
          <w:p w14:paraId="0B36D4CB" w14:textId="350B5BB5" w:rsidR="009D54A4" w:rsidRPr="009D54A4" w:rsidRDefault="009D54A4" w:rsidP="009D54A4">
            <w:pPr>
              <w:jc w:val="left"/>
              <w:rPr>
                <w:color w:val="000000"/>
                <w:sz w:val="18"/>
                <w:szCs w:val="18"/>
                <w:lang w:val="en-US" w:eastAsia="ro-RO"/>
              </w:rPr>
            </w:pPr>
            <w:r w:rsidRPr="009D54A4">
              <w:rPr>
                <w:color w:val="000000"/>
                <w:sz w:val="18"/>
                <w:szCs w:val="18"/>
                <w:lang w:val="en-US" w:eastAsia="ro-RO"/>
              </w:rPr>
              <w:t xml:space="preserve">Activity 2.10: Organize 10 roundtable meetings for policy dialogue to facilitate the alignment of policies across respective sectors and reinforce the HCFC phase-out and </w:t>
            </w:r>
            <w:r w:rsidR="004500EB">
              <w:rPr>
                <w:color w:val="000000"/>
                <w:sz w:val="18"/>
                <w:szCs w:val="18"/>
                <w:lang w:val="en-US" w:eastAsia="ro-RO"/>
              </w:rPr>
              <w:t>HFC</w:t>
            </w:r>
            <w:r w:rsidRPr="009D54A4">
              <w:rPr>
                <w:color w:val="000000"/>
                <w:sz w:val="18"/>
                <w:szCs w:val="18"/>
                <w:lang w:val="en-US" w:eastAsia="ro-RO"/>
              </w:rPr>
              <w:t xml:space="preserve"> phase-down in the country.</w:t>
            </w:r>
          </w:p>
        </w:tc>
        <w:tc>
          <w:tcPr>
            <w:tcW w:w="1440" w:type="dxa"/>
            <w:shd w:val="clear" w:color="auto" w:fill="auto"/>
            <w:vAlign w:val="center"/>
          </w:tcPr>
          <w:p w14:paraId="518E3069" w14:textId="1A1D8B9A" w:rsidR="009D54A4" w:rsidRDefault="009D54A4" w:rsidP="009D54A4">
            <w:pPr>
              <w:jc w:val="center"/>
              <w:rPr>
                <w:color w:val="000000"/>
                <w:sz w:val="18"/>
                <w:szCs w:val="18"/>
              </w:rPr>
            </w:pPr>
            <w:r>
              <w:rPr>
                <w:color w:val="000000"/>
                <w:sz w:val="18"/>
                <w:szCs w:val="18"/>
              </w:rPr>
              <w:t>1,500</w:t>
            </w:r>
          </w:p>
        </w:tc>
      </w:tr>
      <w:tr w:rsidR="009D54A4" w:rsidRPr="00771A4C" w14:paraId="16970537" w14:textId="77777777" w:rsidTr="009D54A4">
        <w:trPr>
          <w:trHeight w:val="193"/>
        </w:trPr>
        <w:tc>
          <w:tcPr>
            <w:tcW w:w="1170" w:type="dxa"/>
            <w:shd w:val="clear" w:color="auto" w:fill="D9D9D9" w:themeFill="background1" w:themeFillShade="D9"/>
          </w:tcPr>
          <w:p w14:paraId="018A61E3" w14:textId="22124434" w:rsidR="009D54A4" w:rsidRPr="00771A4C" w:rsidRDefault="009D54A4" w:rsidP="009D54A4">
            <w:pPr>
              <w:jc w:val="left"/>
              <w:rPr>
                <w:color w:val="000000"/>
                <w:sz w:val="18"/>
                <w:szCs w:val="18"/>
                <w:lang w:val="en-US" w:eastAsia="ro-RO"/>
              </w:rPr>
            </w:pPr>
            <w:bookmarkStart w:id="21" w:name="_Hlk177558346"/>
            <w:r w:rsidRPr="009D54A4">
              <w:rPr>
                <w:b/>
                <w:bCs/>
                <w:sz w:val="18"/>
                <w:szCs w:val="18"/>
                <w:lang w:val="en-US"/>
              </w:rPr>
              <w:t>Sub</w:t>
            </w:r>
            <w:r>
              <w:rPr>
                <w:b/>
                <w:bCs/>
                <w:sz w:val="18"/>
                <w:szCs w:val="18"/>
                <w:lang w:val="en-US"/>
              </w:rPr>
              <w:t>-</w:t>
            </w:r>
            <w:r w:rsidRPr="009D54A4">
              <w:rPr>
                <w:b/>
                <w:bCs/>
                <w:sz w:val="18"/>
                <w:szCs w:val="18"/>
                <w:lang w:val="en-US"/>
              </w:rPr>
              <w:t>total comp. 2</w:t>
            </w:r>
            <w:r>
              <w:rPr>
                <w:color w:val="000000"/>
                <w:sz w:val="18"/>
                <w:szCs w:val="18"/>
                <w:lang w:val="en-US" w:eastAsia="ro-RO"/>
              </w:rPr>
              <w:t xml:space="preserve"> </w:t>
            </w:r>
          </w:p>
        </w:tc>
        <w:tc>
          <w:tcPr>
            <w:tcW w:w="7004" w:type="dxa"/>
            <w:shd w:val="clear" w:color="auto" w:fill="D9D9D9" w:themeFill="background1" w:themeFillShade="D9"/>
            <w:vAlign w:val="center"/>
          </w:tcPr>
          <w:p w14:paraId="34D9DFF6" w14:textId="77777777" w:rsidR="009D54A4" w:rsidRPr="00CB4DAF" w:rsidRDefault="009D54A4" w:rsidP="009D54A4">
            <w:pPr>
              <w:jc w:val="left"/>
              <w:rPr>
                <w:rFonts w:asciiTheme="minorHAnsi" w:hAnsiTheme="minorHAnsi" w:cstheme="minorHAnsi"/>
                <w:b/>
                <w:bCs/>
                <w:sz w:val="18"/>
                <w:szCs w:val="18"/>
                <w:lang w:val="en-US"/>
              </w:rPr>
            </w:pPr>
          </w:p>
        </w:tc>
        <w:tc>
          <w:tcPr>
            <w:tcW w:w="1440" w:type="dxa"/>
            <w:shd w:val="clear" w:color="auto" w:fill="D9D9D9" w:themeFill="background1" w:themeFillShade="D9"/>
            <w:vAlign w:val="center"/>
          </w:tcPr>
          <w:p w14:paraId="2571B770" w14:textId="3F9DD0B8" w:rsidR="009D54A4" w:rsidRPr="009D54A4" w:rsidRDefault="009D54A4" w:rsidP="009D54A4">
            <w:pPr>
              <w:jc w:val="center"/>
              <w:rPr>
                <w:b/>
                <w:bCs/>
                <w:color w:val="000000"/>
                <w:sz w:val="18"/>
                <w:szCs w:val="18"/>
              </w:rPr>
            </w:pPr>
            <w:r w:rsidRPr="009D54A4">
              <w:rPr>
                <w:b/>
                <w:bCs/>
                <w:color w:val="000000"/>
                <w:sz w:val="18"/>
                <w:szCs w:val="18"/>
              </w:rPr>
              <w:t>53,850</w:t>
            </w:r>
          </w:p>
        </w:tc>
      </w:tr>
      <w:bookmarkEnd w:id="21"/>
      <w:tr w:rsidR="00B36980" w:rsidRPr="00771A4C" w14:paraId="37F0619A" w14:textId="77777777" w:rsidTr="000061E6">
        <w:trPr>
          <w:trHeight w:val="193"/>
        </w:trPr>
        <w:tc>
          <w:tcPr>
            <w:tcW w:w="1170" w:type="dxa"/>
            <w:vMerge w:val="restart"/>
          </w:tcPr>
          <w:p w14:paraId="5F4DDD16" w14:textId="36D66938" w:rsidR="00B36980" w:rsidRPr="00771A4C" w:rsidRDefault="00B36980" w:rsidP="00B36980">
            <w:pPr>
              <w:jc w:val="left"/>
              <w:rPr>
                <w:color w:val="000000"/>
                <w:sz w:val="18"/>
                <w:szCs w:val="18"/>
                <w:lang w:val="en-US" w:eastAsia="ro-RO"/>
              </w:rPr>
            </w:pPr>
            <w:r w:rsidRPr="009D54A4">
              <w:rPr>
                <w:b/>
                <w:bCs/>
                <w:sz w:val="18"/>
                <w:szCs w:val="18"/>
                <w:lang w:val="en-US"/>
              </w:rPr>
              <w:t>Component 3: Demonstration projects</w:t>
            </w:r>
          </w:p>
        </w:tc>
        <w:tc>
          <w:tcPr>
            <w:tcW w:w="7004" w:type="dxa"/>
            <w:shd w:val="clear" w:color="auto" w:fill="auto"/>
            <w:vAlign w:val="center"/>
          </w:tcPr>
          <w:p w14:paraId="49277F17" w14:textId="5ADFF0CA" w:rsidR="00B36980" w:rsidRPr="00B36980" w:rsidRDefault="00B36980" w:rsidP="00B36980">
            <w:pPr>
              <w:jc w:val="left"/>
              <w:rPr>
                <w:color w:val="000000"/>
                <w:sz w:val="18"/>
                <w:szCs w:val="18"/>
                <w:lang w:val="en-US" w:eastAsia="ro-RO"/>
              </w:rPr>
            </w:pPr>
            <w:r w:rsidRPr="00B36980">
              <w:rPr>
                <w:color w:val="000000"/>
                <w:sz w:val="18"/>
                <w:szCs w:val="18"/>
                <w:lang w:val="en-US" w:eastAsia="ro-RO"/>
              </w:rPr>
              <w:t>Activity 3.3. Design and implement demo projects with focus on the natural refrigerants, with up to 50% co-financing</w:t>
            </w:r>
          </w:p>
        </w:tc>
        <w:tc>
          <w:tcPr>
            <w:tcW w:w="1440" w:type="dxa"/>
            <w:shd w:val="clear" w:color="auto" w:fill="auto"/>
            <w:vAlign w:val="center"/>
          </w:tcPr>
          <w:p w14:paraId="0B438274" w14:textId="433D2D3B" w:rsidR="00B36980" w:rsidRDefault="00B36980" w:rsidP="00B36980">
            <w:pPr>
              <w:jc w:val="center"/>
              <w:rPr>
                <w:color w:val="000000"/>
                <w:sz w:val="18"/>
                <w:szCs w:val="18"/>
              </w:rPr>
            </w:pPr>
            <w:r w:rsidRPr="00B36980">
              <w:rPr>
                <w:color w:val="000000"/>
                <w:sz w:val="18"/>
                <w:szCs w:val="18"/>
              </w:rPr>
              <w:t>84,500</w:t>
            </w:r>
          </w:p>
        </w:tc>
      </w:tr>
      <w:tr w:rsidR="00B36980" w:rsidRPr="00771A4C" w14:paraId="4517C940" w14:textId="77777777" w:rsidTr="000061E6">
        <w:trPr>
          <w:trHeight w:val="193"/>
        </w:trPr>
        <w:tc>
          <w:tcPr>
            <w:tcW w:w="1170" w:type="dxa"/>
            <w:vMerge/>
          </w:tcPr>
          <w:p w14:paraId="1BDD1309" w14:textId="77777777" w:rsidR="00B36980" w:rsidRPr="00771A4C" w:rsidRDefault="00B36980" w:rsidP="00B36980">
            <w:pPr>
              <w:jc w:val="left"/>
              <w:rPr>
                <w:color w:val="000000"/>
                <w:sz w:val="18"/>
                <w:szCs w:val="18"/>
                <w:lang w:val="en-US" w:eastAsia="ro-RO"/>
              </w:rPr>
            </w:pPr>
          </w:p>
        </w:tc>
        <w:tc>
          <w:tcPr>
            <w:tcW w:w="7004" w:type="dxa"/>
            <w:shd w:val="clear" w:color="auto" w:fill="auto"/>
            <w:vAlign w:val="center"/>
          </w:tcPr>
          <w:p w14:paraId="0B2FFBB1" w14:textId="29F1039E" w:rsidR="00B36980" w:rsidRPr="00B36980" w:rsidRDefault="00B36980" w:rsidP="00B36980">
            <w:pPr>
              <w:jc w:val="left"/>
              <w:rPr>
                <w:color w:val="000000"/>
                <w:sz w:val="18"/>
                <w:szCs w:val="18"/>
                <w:lang w:val="en-US" w:eastAsia="ro-RO"/>
              </w:rPr>
            </w:pPr>
            <w:r w:rsidRPr="00B36980">
              <w:rPr>
                <w:color w:val="000000"/>
                <w:sz w:val="18"/>
                <w:szCs w:val="18"/>
                <w:lang w:val="en-US" w:eastAsia="ro-RO"/>
              </w:rPr>
              <w:t>Activity 3.4: Organize 2 workshops to present the outcomes of demonstration projects and applied technology</w:t>
            </w:r>
          </w:p>
        </w:tc>
        <w:tc>
          <w:tcPr>
            <w:tcW w:w="1440" w:type="dxa"/>
            <w:shd w:val="clear" w:color="auto" w:fill="auto"/>
            <w:vAlign w:val="center"/>
          </w:tcPr>
          <w:p w14:paraId="4AD76A5A" w14:textId="1CFD178A" w:rsidR="00B36980" w:rsidRDefault="00B36980" w:rsidP="00B36980">
            <w:pPr>
              <w:jc w:val="center"/>
              <w:rPr>
                <w:color w:val="000000"/>
                <w:sz w:val="18"/>
                <w:szCs w:val="18"/>
              </w:rPr>
            </w:pPr>
            <w:r w:rsidRPr="00B36980">
              <w:rPr>
                <w:color w:val="000000"/>
                <w:sz w:val="18"/>
                <w:szCs w:val="18"/>
              </w:rPr>
              <w:t>2,400</w:t>
            </w:r>
          </w:p>
        </w:tc>
      </w:tr>
      <w:tr w:rsidR="00B36980" w:rsidRPr="00771A4C" w14:paraId="73E5C5E3" w14:textId="77777777" w:rsidTr="00CE1543">
        <w:trPr>
          <w:trHeight w:val="193"/>
        </w:trPr>
        <w:tc>
          <w:tcPr>
            <w:tcW w:w="1170" w:type="dxa"/>
            <w:shd w:val="clear" w:color="auto" w:fill="D9D9D9" w:themeFill="background1" w:themeFillShade="D9"/>
          </w:tcPr>
          <w:p w14:paraId="1A1883A7" w14:textId="71ED2B35" w:rsidR="00B36980" w:rsidRPr="00771A4C" w:rsidRDefault="00B36980" w:rsidP="00CE1543">
            <w:pPr>
              <w:jc w:val="left"/>
              <w:rPr>
                <w:color w:val="000000"/>
                <w:sz w:val="18"/>
                <w:szCs w:val="18"/>
                <w:lang w:val="en-US" w:eastAsia="ro-RO"/>
              </w:rPr>
            </w:pPr>
            <w:bookmarkStart w:id="22" w:name="_Hlk177558705"/>
            <w:r w:rsidRPr="009D54A4">
              <w:rPr>
                <w:b/>
                <w:bCs/>
                <w:sz w:val="18"/>
                <w:szCs w:val="18"/>
                <w:lang w:val="en-US"/>
              </w:rPr>
              <w:t>Sub</w:t>
            </w:r>
            <w:r>
              <w:rPr>
                <w:b/>
                <w:bCs/>
                <w:sz w:val="18"/>
                <w:szCs w:val="18"/>
                <w:lang w:val="en-US"/>
              </w:rPr>
              <w:t>-</w:t>
            </w:r>
            <w:r w:rsidRPr="009D54A4">
              <w:rPr>
                <w:b/>
                <w:bCs/>
                <w:sz w:val="18"/>
                <w:szCs w:val="18"/>
                <w:lang w:val="en-US"/>
              </w:rPr>
              <w:t xml:space="preserve">total comp. </w:t>
            </w:r>
            <w:r>
              <w:rPr>
                <w:b/>
                <w:bCs/>
                <w:sz w:val="18"/>
                <w:szCs w:val="18"/>
                <w:lang w:val="en-US"/>
              </w:rPr>
              <w:t>3</w:t>
            </w:r>
          </w:p>
        </w:tc>
        <w:tc>
          <w:tcPr>
            <w:tcW w:w="7004" w:type="dxa"/>
            <w:shd w:val="clear" w:color="auto" w:fill="D9D9D9" w:themeFill="background1" w:themeFillShade="D9"/>
            <w:vAlign w:val="center"/>
          </w:tcPr>
          <w:p w14:paraId="397F6719" w14:textId="77777777" w:rsidR="00B36980" w:rsidRPr="00CB4DAF" w:rsidRDefault="00B36980" w:rsidP="00CE1543">
            <w:pPr>
              <w:jc w:val="left"/>
              <w:rPr>
                <w:rFonts w:asciiTheme="minorHAnsi" w:hAnsiTheme="minorHAnsi" w:cstheme="minorHAnsi"/>
                <w:b/>
                <w:bCs/>
                <w:sz w:val="18"/>
                <w:szCs w:val="18"/>
                <w:lang w:val="en-US"/>
              </w:rPr>
            </w:pPr>
          </w:p>
        </w:tc>
        <w:tc>
          <w:tcPr>
            <w:tcW w:w="1440" w:type="dxa"/>
            <w:shd w:val="clear" w:color="auto" w:fill="D9D9D9" w:themeFill="background1" w:themeFillShade="D9"/>
            <w:vAlign w:val="center"/>
          </w:tcPr>
          <w:p w14:paraId="67A30438" w14:textId="234C604B" w:rsidR="00B36980" w:rsidRPr="009D54A4" w:rsidRDefault="00B50C54" w:rsidP="00CE1543">
            <w:pPr>
              <w:jc w:val="center"/>
              <w:rPr>
                <w:b/>
                <w:bCs/>
                <w:color w:val="000000"/>
                <w:sz w:val="18"/>
                <w:szCs w:val="18"/>
              </w:rPr>
            </w:pPr>
            <w:r>
              <w:rPr>
                <w:b/>
                <w:bCs/>
                <w:color w:val="000000"/>
                <w:sz w:val="18"/>
                <w:szCs w:val="18"/>
              </w:rPr>
              <w:t>86,900</w:t>
            </w:r>
          </w:p>
        </w:tc>
      </w:tr>
      <w:bookmarkEnd w:id="22"/>
      <w:tr w:rsidR="0064376F" w:rsidRPr="00771A4C" w14:paraId="5614D1A5" w14:textId="77777777" w:rsidTr="000061E6">
        <w:trPr>
          <w:trHeight w:val="193"/>
        </w:trPr>
        <w:tc>
          <w:tcPr>
            <w:tcW w:w="1170" w:type="dxa"/>
            <w:vMerge w:val="restart"/>
          </w:tcPr>
          <w:p w14:paraId="604CF5DB" w14:textId="1F6139BD" w:rsidR="0064376F" w:rsidRPr="00771A4C" w:rsidRDefault="0064376F" w:rsidP="00B36980">
            <w:pPr>
              <w:jc w:val="left"/>
              <w:rPr>
                <w:color w:val="000000"/>
                <w:sz w:val="18"/>
                <w:szCs w:val="18"/>
                <w:lang w:val="en-US" w:eastAsia="ro-RO"/>
              </w:rPr>
            </w:pPr>
            <w:r w:rsidRPr="0064376F">
              <w:rPr>
                <w:b/>
                <w:bCs/>
                <w:sz w:val="18"/>
                <w:szCs w:val="18"/>
                <w:lang w:val="en-US"/>
              </w:rPr>
              <w:t>Component 4: Technical assistance to support good servicing practices in the refrigeration sector</w:t>
            </w:r>
          </w:p>
        </w:tc>
        <w:tc>
          <w:tcPr>
            <w:tcW w:w="7004" w:type="dxa"/>
            <w:shd w:val="clear" w:color="auto" w:fill="auto"/>
            <w:vAlign w:val="center"/>
          </w:tcPr>
          <w:p w14:paraId="0380C49A" w14:textId="6444ACED" w:rsidR="0064376F" w:rsidRPr="00AA13EA" w:rsidRDefault="0064376F" w:rsidP="00B36980">
            <w:pPr>
              <w:jc w:val="left"/>
              <w:rPr>
                <w:color w:val="000000"/>
                <w:sz w:val="18"/>
                <w:szCs w:val="18"/>
                <w:lang w:val="en-US" w:eastAsia="ro-RO"/>
              </w:rPr>
            </w:pPr>
            <w:r w:rsidRPr="00AA13EA">
              <w:rPr>
                <w:color w:val="000000"/>
                <w:sz w:val="18"/>
                <w:szCs w:val="18"/>
                <w:lang w:val="en-US" w:eastAsia="ro-RO"/>
              </w:rPr>
              <w:t>Activity 4.2a,b. Supply 3 Services centers and individual technicians with equipment and tools in regional cities/towns.</w:t>
            </w:r>
          </w:p>
        </w:tc>
        <w:tc>
          <w:tcPr>
            <w:tcW w:w="1440" w:type="dxa"/>
            <w:shd w:val="clear" w:color="auto" w:fill="auto"/>
            <w:vAlign w:val="center"/>
          </w:tcPr>
          <w:p w14:paraId="7E030CF3" w14:textId="5F6A1D33" w:rsidR="0064376F" w:rsidRDefault="0064376F" w:rsidP="00B36980">
            <w:pPr>
              <w:jc w:val="center"/>
              <w:rPr>
                <w:color w:val="000000"/>
                <w:sz w:val="18"/>
                <w:szCs w:val="18"/>
              </w:rPr>
            </w:pPr>
            <w:r>
              <w:rPr>
                <w:color w:val="000000"/>
                <w:sz w:val="18"/>
                <w:szCs w:val="18"/>
              </w:rPr>
              <w:t>65,000</w:t>
            </w:r>
          </w:p>
        </w:tc>
      </w:tr>
      <w:tr w:rsidR="0064376F" w:rsidRPr="00771A4C" w14:paraId="30748763" w14:textId="77777777" w:rsidTr="000061E6">
        <w:trPr>
          <w:trHeight w:val="193"/>
        </w:trPr>
        <w:tc>
          <w:tcPr>
            <w:tcW w:w="1170" w:type="dxa"/>
            <w:vMerge/>
          </w:tcPr>
          <w:p w14:paraId="5606BA38" w14:textId="77777777" w:rsidR="0064376F" w:rsidRPr="00771A4C" w:rsidRDefault="0064376F" w:rsidP="00B36980">
            <w:pPr>
              <w:jc w:val="left"/>
              <w:rPr>
                <w:color w:val="000000"/>
                <w:sz w:val="18"/>
                <w:szCs w:val="18"/>
                <w:lang w:val="en-US" w:eastAsia="ro-RO"/>
              </w:rPr>
            </w:pPr>
          </w:p>
        </w:tc>
        <w:tc>
          <w:tcPr>
            <w:tcW w:w="7004" w:type="dxa"/>
            <w:shd w:val="clear" w:color="auto" w:fill="auto"/>
            <w:vAlign w:val="center"/>
          </w:tcPr>
          <w:p w14:paraId="5B22D281" w14:textId="622B809F" w:rsidR="0064376F" w:rsidRPr="00AA13EA" w:rsidRDefault="00AA13EA" w:rsidP="00B36980">
            <w:pPr>
              <w:jc w:val="left"/>
              <w:rPr>
                <w:color w:val="000000"/>
                <w:sz w:val="18"/>
                <w:szCs w:val="18"/>
                <w:lang w:val="en-US" w:eastAsia="ro-RO"/>
              </w:rPr>
            </w:pPr>
            <w:r w:rsidRPr="00AA13EA">
              <w:rPr>
                <w:color w:val="000000"/>
                <w:sz w:val="18"/>
                <w:szCs w:val="18"/>
                <w:lang w:val="en-US" w:eastAsia="ro-RO"/>
              </w:rPr>
              <w:t>Activity 4.3. Conduct a study to assess the infrastructure options for long-term on-site storage of used ODS. The study will also include a detailed cost assessment for establishment and maintenance of such storage facility.</w:t>
            </w:r>
          </w:p>
        </w:tc>
        <w:tc>
          <w:tcPr>
            <w:tcW w:w="1440" w:type="dxa"/>
            <w:shd w:val="clear" w:color="auto" w:fill="auto"/>
            <w:vAlign w:val="center"/>
          </w:tcPr>
          <w:p w14:paraId="61F288BC" w14:textId="7F129698" w:rsidR="0064376F" w:rsidRDefault="00AA13EA" w:rsidP="00B36980">
            <w:pPr>
              <w:jc w:val="center"/>
              <w:rPr>
                <w:color w:val="000000"/>
                <w:sz w:val="18"/>
                <w:szCs w:val="18"/>
              </w:rPr>
            </w:pPr>
            <w:r>
              <w:rPr>
                <w:color w:val="000000"/>
                <w:sz w:val="18"/>
                <w:szCs w:val="18"/>
              </w:rPr>
              <w:t>4,000</w:t>
            </w:r>
          </w:p>
        </w:tc>
      </w:tr>
      <w:tr w:rsidR="00AA13EA" w:rsidRPr="00771A4C" w14:paraId="39BC28DB" w14:textId="77777777" w:rsidTr="000061E6">
        <w:trPr>
          <w:trHeight w:val="193"/>
        </w:trPr>
        <w:tc>
          <w:tcPr>
            <w:tcW w:w="1170" w:type="dxa"/>
            <w:vMerge/>
          </w:tcPr>
          <w:p w14:paraId="02A1E90B" w14:textId="77777777" w:rsidR="00AA13EA" w:rsidRPr="00771A4C" w:rsidRDefault="00AA13EA" w:rsidP="00AA13EA">
            <w:pPr>
              <w:jc w:val="left"/>
              <w:rPr>
                <w:color w:val="000000"/>
                <w:sz w:val="18"/>
                <w:szCs w:val="18"/>
                <w:lang w:val="en-US" w:eastAsia="ro-RO"/>
              </w:rPr>
            </w:pPr>
          </w:p>
        </w:tc>
        <w:tc>
          <w:tcPr>
            <w:tcW w:w="7004" w:type="dxa"/>
            <w:shd w:val="clear" w:color="auto" w:fill="auto"/>
            <w:vAlign w:val="center"/>
          </w:tcPr>
          <w:p w14:paraId="1875EA9E" w14:textId="3F6E45D4" w:rsidR="00AA13EA" w:rsidRPr="00AA13EA" w:rsidRDefault="00AA13EA" w:rsidP="00AA13EA">
            <w:pPr>
              <w:jc w:val="left"/>
              <w:rPr>
                <w:color w:val="000000"/>
                <w:sz w:val="18"/>
                <w:szCs w:val="18"/>
                <w:lang w:val="en-US" w:eastAsia="ro-RO"/>
              </w:rPr>
            </w:pPr>
            <w:r w:rsidRPr="00AA13EA">
              <w:rPr>
                <w:color w:val="000000"/>
                <w:sz w:val="18"/>
                <w:szCs w:val="18"/>
                <w:lang w:val="en-US" w:eastAsia="ro-RO"/>
              </w:rPr>
              <w:t xml:space="preserve">Activity 4.5.  Stakeholder coordination, advisory, </w:t>
            </w:r>
            <w:r w:rsidR="00446AE0" w:rsidRPr="00AA13EA">
              <w:rPr>
                <w:color w:val="000000"/>
                <w:sz w:val="18"/>
                <w:szCs w:val="18"/>
                <w:lang w:val="en-US" w:eastAsia="ro-RO"/>
              </w:rPr>
              <w:t>and oversight</w:t>
            </w:r>
            <w:r w:rsidRPr="00AA13EA">
              <w:rPr>
                <w:color w:val="000000"/>
                <w:sz w:val="18"/>
                <w:szCs w:val="18"/>
                <w:lang w:val="en-US" w:eastAsia="ro-RO"/>
              </w:rPr>
              <w:t xml:space="preserve"> of components</w:t>
            </w:r>
          </w:p>
        </w:tc>
        <w:tc>
          <w:tcPr>
            <w:tcW w:w="1440" w:type="dxa"/>
            <w:shd w:val="clear" w:color="auto" w:fill="auto"/>
            <w:vAlign w:val="center"/>
          </w:tcPr>
          <w:p w14:paraId="7EB67BE6" w14:textId="3C6ECB2C" w:rsidR="00AA13EA" w:rsidRDefault="00AA13EA" w:rsidP="00AA13EA">
            <w:pPr>
              <w:jc w:val="center"/>
              <w:rPr>
                <w:color w:val="000000"/>
                <w:sz w:val="18"/>
                <w:szCs w:val="18"/>
              </w:rPr>
            </w:pPr>
            <w:r>
              <w:rPr>
                <w:color w:val="000000"/>
                <w:sz w:val="18"/>
                <w:szCs w:val="18"/>
              </w:rPr>
              <w:t>3,100</w:t>
            </w:r>
          </w:p>
        </w:tc>
      </w:tr>
      <w:tr w:rsidR="00AA13EA" w:rsidRPr="00771A4C" w14:paraId="60113608" w14:textId="77777777" w:rsidTr="00CE1543">
        <w:trPr>
          <w:trHeight w:val="193"/>
        </w:trPr>
        <w:tc>
          <w:tcPr>
            <w:tcW w:w="1170" w:type="dxa"/>
            <w:shd w:val="clear" w:color="auto" w:fill="D9D9D9" w:themeFill="background1" w:themeFillShade="D9"/>
          </w:tcPr>
          <w:p w14:paraId="1FACC5C5" w14:textId="4F6F356E" w:rsidR="00AA13EA" w:rsidRPr="00771A4C" w:rsidRDefault="00AA13EA" w:rsidP="00CE1543">
            <w:pPr>
              <w:jc w:val="left"/>
              <w:rPr>
                <w:color w:val="000000"/>
                <w:sz w:val="18"/>
                <w:szCs w:val="18"/>
                <w:lang w:val="en-US" w:eastAsia="ro-RO"/>
              </w:rPr>
            </w:pPr>
            <w:r w:rsidRPr="009D54A4">
              <w:rPr>
                <w:b/>
                <w:bCs/>
                <w:sz w:val="18"/>
                <w:szCs w:val="18"/>
                <w:lang w:val="en-US"/>
              </w:rPr>
              <w:t>Sub</w:t>
            </w:r>
            <w:r>
              <w:rPr>
                <w:b/>
                <w:bCs/>
                <w:sz w:val="18"/>
                <w:szCs w:val="18"/>
                <w:lang w:val="en-US"/>
              </w:rPr>
              <w:t>-</w:t>
            </w:r>
            <w:r w:rsidRPr="009D54A4">
              <w:rPr>
                <w:b/>
                <w:bCs/>
                <w:sz w:val="18"/>
                <w:szCs w:val="18"/>
                <w:lang w:val="en-US"/>
              </w:rPr>
              <w:t xml:space="preserve">total comp. </w:t>
            </w:r>
            <w:r w:rsidR="00927758">
              <w:rPr>
                <w:b/>
                <w:bCs/>
                <w:sz w:val="18"/>
                <w:szCs w:val="18"/>
                <w:lang w:val="en-US"/>
              </w:rPr>
              <w:t>4</w:t>
            </w:r>
          </w:p>
        </w:tc>
        <w:tc>
          <w:tcPr>
            <w:tcW w:w="7004" w:type="dxa"/>
            <w:shd w:val="clear" w:color="auto" w:fill="D9D9D9" w:themeFill="background1" w:themeFillShade="D9"/>
            <w:vAlign w:val="center"/>
          </w:tcPr>
          <w:p w14:paraId="422BD6B5" w14:textId="77777777" w:rsidR="00AA13EA" w:rsidRPr="00CB4DAF" w:rsidRDefault="00AA13EA" w:rsidP="00CE1543">
            <w:pPr>
              <w:jc w:val="left"/>
              <w:rPr>
                <w:rFonts w:asciiTheme="minorHAnsi" w:hAnsiTheme="minorHAnsi" w:cstheme="minorHAnsi"/>
                <w:b/>
                <w:bCs/>
                <w:sz w:val="18"/>
                <w:szCs w:val="18"/>
                <w:lang w:val="en-US"/>
              </w:rPr>
            </w:pPr>
          </w:p>
        </w:tc>
        <w:tc>
          <w:tcPr>
            <w:tcW w:w="1440" w:type="dxa"/>
            <w:shd w:val="clear" w:color="auto" w:fill="D9D9D9" w:themeFill="background1" w:themeFillShade="D9"/>
            <w:vAlign w:val="center"/>
          </w:tcPr>
          <w:p w14:paraId="26D8A3D0" w14:textId="2BA7AE3B" w:rsidR="00AA13EA" w:rsidRPr="009D54A4" w:rsidRDefault="00AA13EA" w:rsidP="00CE1543">
            <w:pPr>
              <w:jc w:val="center"/>
              <w:rPr>
                <w:b/>
                <w:bCs/>
                <w:color w:val="000000"/>
                <w:sz w:val="18"/>
                <w:szCs w:val="18"/>
              </w:rPr>
            </w:pPr>
            <w:r>
              <w:rPr>
                <w:b/>
                <w:bCs/>
                <w:color w:val="000000"/>
                <w:sz w:val="18"/>
                <w:szCs w:val="18"/>
              </w:rPr>
              <w:t>72,100</w:t>
            </w:r>
          </w:p>
        </w:tc>
      </w:tr>
      <w:tr w:rsidR="00927758" w:rsidRPr="00F10286" w14:paraId="77DDFE7F" w14:textId="77777777" w:rsidTr="00927758">
        <w:trPr>
          <w:trHeight w:val="193"/>
        </w:trPr>
        <w:tc>
          <w:tcPr>
            <w:tcW w:w="1170" w:type="dxa"/>
            <w:shd w:val="clear" w:color="auto" w:fill="auto"/>
          </w:tcPr>
          <w:p w14:paraId="1512AD54" w14:textId="77777777" w:rsidR="00927758" w:rsidRDefault="00927758" w:rsidP="00CE1543">
            <w:pPr>
              <w:jc w:val="left"/>
              <w:rPr>
                <w:b/>
                <w:bCs/>
                <w:sz w:val="18"/>
                <w:szCs w:val="18"/>
                <w:lang w:val="en-US"/>
              </w:rPr>
            </w:pPr>
          </w:p>
          <w:p w14:paraId="1FDFB650" w14:textId="6F727849" w:rsidR="00927758" w:rsidRDefault="00927758" w:rsidP="00CE1543">
            <w:pPr>
              <w:jc w:val="left"/>
              <w:rPr>
                <w:b/>
                <w:bCs/>
                <w:sz w:val="18"/>
                <w:szCs w:val="18"/>
                <w:lang w:val="en-US"/>
              </w:rPr>
            </w:pPr>
            <w:r w:rsidRPr="00927758">
              <w:rPr>
                <w:b/>
                <w:bCs/>
                <w:sz w:val="18"/>
                <w:szCs w:val="18"/>
                <w:lang w:val="en-US"/>
              </w:rPr>
              <w:t>Component 5: Project implementation, monitoring and evaluation</w:t>
            </w:r>
          </w:p>
          <w:p w14:paraId="225B6910" w14:textId="77777777" w:rsidR="00927758" w:rsidRPr="009D54A4" w:rsidRDefault="00927758" w:rsidP="00CE1543">
            <w:pPr>
              <w:jc w:val="left"/>
              <w:rPr>
                <w:b/>
                <w:bCs/>
                <w:sz w:val="18"/>
                <w:szCs w:val="18"/>
                <w:lang w:val="en-US"/>
              </w:rPr>
            </w:pPr>
          </w:p>
        </w:tc>
        <w:tc>
          <w:tcPr>
            <w:tcW w:w="7004" w:type="dxa"/>
            <w:shd w:val="clear" w:color="auto" w:fill="auto"/>
            <w:vAlign w:val="center"/>
          </w:tcPr>
          <w:p w14:paraId="27DA4AF4" w14:textId="30B10540" w:rsidR="00927758" w:rsidRPr="00CB4DAF" w:rsidRDefault="00927758" w:rsidP="00CE1543">
            <w:pPr>
              <w:jc w:val="left"/>
              <w:rPr>
                <w:rFonts w:asciiTheme="minorHAnsi" w:hAnsiTheme="minorHAnsi" w:cstheme="minorHAnsi"/>
                <w:b/>
                <w:bCs/>
                <w:sz w:val="18"/>
                <w:szCs w:val="18"/>
                <w:lang w:val="en-US"/>
              </w:rPr>
            </w:pPr>
            <w:r w:rsidRPr="00CB4DAF">
              <w:rPr>
                <w:rFonts w:asciiTheme="minorHAnsi" w:hAnsiTheme="minorHAnsi" w:cstheme="minorHAnsi"/>
                <w:sz w:val="18"/>
                <w:szCs w:val="18"/>
                <w:lang w:val="en-US"/>
              </w:rPr>
              <w:t>Project management related costs</w:t>
            </w:r>
          </w:p>
        </w:tc>
        <w:tc>
          <w:tcPr>
            <w:tcW w:w="1440" w:type="dxa"/>
            <w:shd w:val="clear" w:color="auto" w:fill="auto"/>
            <w:vAlign w:val="center"/>
          </w:tcPr>
          <w:p w14:paraId="7C7A38B2" w14:textId="129D28AA" w:rsidR="00927758" w:rsidRDefault="00927758" w:rsidP="00CE1543">
            <w:pPr>
              <w:jc w:val="center"/>
              <w:rPr>
                <w:b/>
                <w:bCs/>
                <w:color w:val="000000"/>
                <w:sz w:val="18"/>
                <w:szCs w:val="18"/>
              </w:rPr>
            </w:pPr>
            <w:r>
              <w:rPr>
                <w:b/>
                <w:bCs/>
                <w:color w:val="000000"/>
                <w:sz w:val="18"/>
                <w:szCs w:val="18"/>
              </w:rPr>
              <w:t>19,112</w:t>
            </w:r>
          </w:p>
        </w:tc>
      </w:tr>
      <w:tr w:rsidR="00F10286" w:rsidRPr="00771A4C" w14:paraId="5670652C" w14:textId="77777777" w:rsidTr="006D79B4">
        <w:trPr>
          <w:trHeight w:val="193"/>
        </w:trPr>
        <w:tc>
          <w:tcPr>
            <w:tcW w:w="8174" w:type="dxa"/>
            <w:gridSpan w:val="2"/>
            <w:shd w:val="clear" w:color="auto" w:fill="548DD4" w:themeFill="text2" w:themeFillTint="99"/>
          </w:tcPr>
          <w:p w14:paraId="3E232C36" w14:textId="3851254C" w:rsidR="00F10286" w:rsidRPr="00771A4C" w:rsidRDefault="00F10286" w:rsidP="00F10286">
            <w:pPr>
              <w:jc w:val="left"/>
              <w:rPr>
                <w:b/>
                <w:bCs/>
                <w:color w:val="FFFFFF"/>
                <w:sz w:val="18"/>
                <w:szCs w:val="18"/>
                <w:lang w:val="en-US" w:eastAsia="ro-RO"/>
              </w:rPr>
            </w:pPr>
            <w:r w:rsidRPr="00771A4C">
              <w:rPr>
                <w:b/>
                <w:bCs/>
                <w:color w:val="FFFFFF"/>
                <w:sz w:val="18"/>
                <w:szCs w:val="18"/>
                <w:lang w:val="en-US" w:eastAsia="ro-RO"/>
              </w:rPr>
              <w:t xml:space="preserve">TOTAL </w:t>
            </w:r>
          </w:p>
        </w:tc>
        <w:tc>
          <w:tcPr>
            <w:tcW w:w="1440" w:type="dxa"/>
            <w:shd w:val="clear" w:color="auto" w:fill="548DD4" w:themeFill="text2" w:themeFillTint="99"/>
            <w:noWrap/>
            <w:vAlign w:val="center"/>
          </w:tcPr>
          <w:p w14:paraId="214C022E" w14:textId="7749EDFD" w:rsidR="00F10286" w:rsidRPr="00771A4C" w:rsidRDefault="00F10286" w:rsidP="00F10286">
            <w:pPr>
              <w:ind w:left="-167" w:right="-108"/>
              <w:jc w:val="center"/>
              <w:rPr>
                <w:b/>
                <w:bCs/>
                <w:color w:val="FFFFFF"/>
                <w:sz w:val="18"/>
                <w:szCs w:val="18"/>
                <w:lang w:val="en-US" w:eastAsia="ro-RO"/>
              </w:rPr>
            </w:pPr>
            <w:r w:rsidRPr="00CB4DAF">
              <w:rPr>
                <w:rFonts w:asciiTheme="minorHAnsi" w:hAnsiTheme="minorHAnsi" w:cstheme="minorHAnsi"/>
                <w:b/>
                <w:bCs/>
                <w:sz w:val="18"/>
                <w:szCs w:val="18"/>
                <w:lang w:val="en-US"/>
              </w:rPr>
              <w:t>235,962</w:t>
            </w:r>
          </w:p>
        </w:tc>
      </w:tr>
      <w:tr w:rsidR="00F10286" w:rsidRPr="00771A4C" w14:paraId="148B5AFB" w14:textId="77777777" w:rsidTr="00E4635A">
        <w:trPr>
          <w:trHeight w:val="193"/>
        </w:trPr>
        <w:tc>
          <w:tcPr>
            <w:tcW w:w="8174" w:type="dxa"/>
            <w:gridSpan w:val="2"/>
          </w:tcPr>
          <w:p w14:paraId="1459D343" w14:textId="443245C6" w:rsidR="00F10286" w:rsidRDefault="00F10286" w:rsidP="00F10286">
            <w:pPr>
              <w:jc w:val="left"/>
              <w:rPr>
                <w:b/>
                <w:bCs/>
                <w:color w:val="000000"/>
                <w:sz w:val="18"/>
                <w:szCs w:val="18"/>
                <w:lang w:val="en-US" w:eastAsia="ro-RO"/>
              </w:rPr>
            </w:pPr>
          </w:p>
          <w:p w14:paraId="550A7958" w14:textId="77777777" w:rsidR="00F10286" w:rsidRPr="00771A4C" w:rsidRDefault="00F10286" w:rsidP="00F10286">
            <w:pPr>
              <w:jc w:val="left"/>
              <w:rPr>
                <w:b/>
                <w:bCs/>
                <w:color w:val="000000"/>
                <w:sz w:val="18"/>
                <w:szCs w:val="18"/>
                <w:lang w:val="en-US" w:eastAsia="ro-RO"/>
              </w:rPr>
            </w:pPr>
            <w:r w:rsidRPr="00771A4C">
              <w:rPr>
                <w:b/>
                <w:bCs/>
                <w:color w:val="000000"/>
                <w:sz w:val="18"/>
                <w:szCs w:val="18"/>
                <w:lang w:val="en-US" w:eastAsia="ro-RO"/>
              </w:rPr>
              <w:t>Percentage per tranche from the grand total, %</w:t>
            </w:r>
          </w:p>
        </w:tc>
        <w:tc>
          <w:tcPr>
            <w:tcW w:w="1440" w:type="dxa"/>
            <w:shd w:val="clear" w:color="auto" w:fill="auto"/>
            <w:vAlign w:val="center"/>
          </w:tcPr>
          <w:p w14:paraId="1BB85804" w14:textId="19BF99D0" w:rsidR="00F10286" w:rsidRPr="00973D33" w:rsidRDefault="00F10286" w:rsidP="00F10286">
            <w:pPr>
              <w:jc w:val="center"/>
              <w:rPr>
                <w:b/>
                <w:bCs/>
                <w:color w:val="000000"/>
                <w:sz w:val="18"/>
                <w:szCs w:val="18"/>
                <w:lang w:val="en-US" w:eastAsia="ro-RO"/>
              </w:rPr>
            </w:pPr>
            <w:r>
              <w:rPr>
                <w:b/>
                <w:bCs/>
                <w:color w:val="000000"/>
                <w:sz w:val="18"/>
                <w:szCs w:val="18"/>
              </w:rPr>
              <w:t>40.34</w:t>
            </w:r>
            <w:r w:rsidRPr="00973D33">
              <w:rPr>
                <w:b/>
                <w:bCs/>
                <w:color w:val="000000"/>
                <w:sz w:val="18"/>
                <w:szCs w:val="18"/>
              </w:rPr>
              <w:t>%</w:t>
            </w:r>
          </w:p>
        </w:tc>
      </w:tr>
      <w:bookmarkEnd w:id="19"/>
      <w:bookmarkEnd w:id="20"/>
    </w:tbl>
    <w:p w14:paraId="07B3A449" w14:textId="77777777" w:rsidR="00CF61E8" w:rsidRPr="00664CC7" w:rsidRDefault="00CF61E8" w:rsidP="00664CC7">
      <w:pPr>
        <w:contextualSpacing/>
        <w:jc w:val="left"/>
      </w:pPr>
    </w:p>
    <w:p w14:paraId="478532BF" w14:textId="77777777" w:rsidR="00070250" w:rsidRPr="00664CC7" w:rsidRDefault="00070250" w:rsidP="00664CC7"/>
    <w:p w14:paraId="2DFAEC26" w14:textId="110DA901" w:rsidR="00662466" w:rsidRDefault="000F1096" w:rsidP="00662466">
      <w:bookmarkStart w:id="23" w:name="_Hlk160026582"/>
      <w:r>
        <w:t>Georgia</w:t>
      </w:r>
      <w:r w:rsidR="00662466" w:rsidRPr="00133D02">
        <w:t xml:space="preserve"> </w:t>
      </w:r>
      <w:bookmarkEnd w:id="23"/>
      <w:r>
        <w:t>is</w:t>
      </w:r>
      <w:r w:rsidR="00662466" w:rsidRPr="00133D02">
        <w:t xml:space="preserve"> on the right track in aligning national legislation with international conventions and requirements including the ratification of the Kigali Amendment. </w:t>
      </w:r>
    </w:p>
    <w:p w14:paraId="10703DED" w14:textId="77777777" w:rsidR="000A6BA4" w:rsidRPr="000A6BA4" w:rsidRDefault="000A6BA4" w:rsidP="000A6BA4">
      <w:r w:rsidRPr="000A6BA4">
        <w:t xml:space="preserve">The Development/long-term objective of HPMP is initial freeze and progressive reduction of HCFCs consumption in refrigeration sector and solvent sectors while minimizing economic and social impacts. </w:t>
      </w:r>
    </w:p>
    <w:p w14:paraId="689AC39E" w14:textId="77777777" w:rsidR="000061E6" w:rsidRPr="00133D02" w:rsidRDefault="000061E6" w:rsidP="00662466"/>
    <w:p w14:paraId="5848680C" w14:textId="77777777" w:rsidR="00562954" w:rsidRPr="00562954" w:rsidRDefault="00562954" w:rsidP="00562954">
      <w:bookmarkStart w:id="24" w:name="_Hlk160099197"/>
      <w:r w:rsidRPr="00562954">
        <w:t>In 2030-2040 Georgia intends to carry out subsequent control steps to achieve a complete phase-out of HCFCs by gradually reducing 2.5 % of the baseline consumption for servicing needs until 2040.</w:t>
      </w:r>
    </w:p>
    <w:p w14:paraId="6CCC7CE2" w14:textId="77777777" w:rsidR="00562954" w:rsidRPr="00CB4DAF" w:rsidRDefault="00562954" w:rsidP="00562954">
      <w:pPr>
        <w:rPr>
          <w:rFonts w:asciiTheme="minorHAnsi" w:eastAsia="Calibri" w:hAnsiTheme="minorHAnsi" w:cstheme="minorHAnsi"/>
          <w:color w:val="000000" w:themeColor="text1"/>
        </w:rPr>
      </w:pPr>
    </w:p>
    <w:p w14:paraId="7BDFD2D9" w14:textId="00F99322" w:rsidR="00562954" w:rsidRPr="00562954" w:rsidRDefault="00562954" w:rsidP="00562954">
      <w:pPr>
        <w:spacing w:before="120"/>
      </w:pPr>
      <w:r w:rsidRPr="00562954">
        <w:t>HPMP-II</w:t>
      </w:r>
      <w:r>
        <w:t xml:space="preserve"> tranche 2</w:t>
      </w:r>
      <w:r w:rsidRPr="00562954">
        <w:t xml:space="preserve"> will address development challenges that Georgia faces towards meeting HCFC phase-out objectives, meaning that no significant deviation from the original overarching HPMP strategy is envisaged. Nonetheless, some adjustments are considered in a view of existing priorities and policies in the country:</w:t>
      </w:r>
    </w:p>
    <w:p w14:paraId="54A8CCA3" w14:textId="77777777" w:rsidR="00562954" w:rsidRPr="00562954" w:rsidRDefault="00562954" w:rsidP="00FA316F">
      <w:pPr>
        <w:numPr>
          <w:ilvl w:val="0"/>
          <w:numId w:val="27"/>
        </w:numPr>
        <w:rPr>
          <w:rFonts w:eastAsia="Calibri"/>
          <w:color w:val="000000" w:themeColor="text1"/>
          <w:lang w:val="en-US"/>
        </w:rPr>
      </w:pPr>
      <w:r w:rsidRPr="00562954">
        <w:rPr>
          <w:rFonts w:eastAsia="Calibri"/>
          <w:color w:val="000000" w:themeColor="text1"/>
          <w:lang w:val="en-US"/>
        </w:rPr>
        <w:t xml:space="preserve">Focus will be made on RAC sector due to the discontinuation of ODS use in solvents </w:t>
      </w:r>
      <w:proofErr w:type="gramStart"/>
      <w:r w:rsidRPr="00562954">
        <w:rPr>
          <w:rFonts w:eastAsia="Calibri"/>
          <w:color w:val="000000" w:themeColor="text1"/>
          <w:lang w:val="en-US"/>
        </w:rPr>
        <w:t>sector;</w:t>
      </w:r>
      <w:proofErr w:type="gramEnd"/>
    </w:p>
    <w:p w14:paraId="6ABF6227" w14:textId="77777777" w:rsidR="00562954" w:rsidRPr="00562954" w:rsidRDefault="00562954" w:rsidP="00FA316F">
      <w:pPr>
        <w:numPr>
          <w:ilvl w:val="0"/>
          <w:numId w:val="27"/>
        </w:numPr>
        <w:rPr>
          <w:rFonts w:eastAsia="Calibri"/>
          <w:color w:val="000000" w:themeColor="text1"/>
          <w:lang w:val="en-US"/>
        </w:rPr>
      </w:pPr>
      <w:r w:rsidRPr="00562954">
        <w:rPr>
          <w:rFonts w:eastAsia="Calibri"/>
          <w:color w:val="000000" w:themeColor="text1"/>
          <w:lang w:val="en-US"/>
        </w:rPr>
        <w:lastRenderedPageBreak/>
        <w:t xml:space="preserve">Strategy will place more emphasis on the collection, recycling and recovery of used HCFC/other ODS that represent a challenge, for the </w:t>
      </w:r>
      <w:proofErr w:type="gramStart"/>
      <w:r w:rsidRPr="00562954">
        <w:rPr>
          <w:rFonts w:eastAsia="Calibri"/>
          <w:color w:val="000000" w:themeColor="text1"/>
          <w:lang w:val="en-US"/>
        </w:rPr>
        <w:t>country;</w:t>
      </w:r>
      <w:proofErr w:type="gramEnd"/>
      <w:r w:rsidRPr="00562954">
        <w:rPr>
          <w:rFonts w:eastAsia="Calibri"/>
          <w:color w:val="000000" w:themeColor="text1"/>
          <w:lang w:val="en-US"/>
        </w:rPr>
        <w:t xml:space="preserve"> </w:t>
      </w:r>
    </w:p>
    <w:p w14:paraId="4B25634F" w14:textId="77777777" w:rsidR="00562954" w:rsidRPr="00562954" w:rsidRDefault="00562954" w:rsidP="00FA316F">
      <w:pPr>
        <w:numPr>
          <w:ilvl w:val="0"/>
          <w:numId w:val="27"/>
        </w:numPr>
        <w:rPr>
          <w:rFonts w:eastAsia="Calibri"/>
          <w:color w:val="000000" w:themeColor="text1"/>
          <w:lang w:val="en-US"/>
        </w:rPr>
      </w:pPr>
      <w:r w:rsidRPr="00562954">
        <w:rPr>
          <w:rFonts w:eastAsia="Calibri"/>
          <w:color w:val="000000" w:themeColor="text1"/>
          <w:lang w:val="en-US"/>
        </w:rPr>
        <w:t xml:space="preserve">Policy, regulatory and institutional support, that is a key dimension of the Overarching Strategy, will also look at the Public Procurement (PP) with the aim to gradually reduce dependence on HCFCs in the public sector and to promote zero/low GWP refrigeration alternatives in public procurement activities. PP should be viewed as an opportunity to catalyze and positively reinforce the use of new technologies in the </w:t>
      </w:r>
      <w:proofErr w:type="gramStart"/>
      <w:r w:rsidRPr="00562954">
        <w:rPr>
          <w:rFonts w:eastAsia="Calibri"/>
          <w:color w:val="000000" w:themeColor="text1"/>
          <w:lang w:val="en-US"/>
        </w:rPr>
        <w:t>country;</w:t>
      </w:r>
      <w:proofErr w:type="gramEnd"/>
    </w:p>
    <w:p w14:paraId="39EEC7EA" w14:textId="3614A389" w:rsidR="000A6BA4" w:rsidRPr="00562954" w:rsidRDefault="00562954" w:rsidP="00FA316F">
      <w:pPr>
        <w:numPr>
          <w:ilvl w:val="0"/>
          <w:numId w:val="27"/>
        </w:numPr>
        <w:rPr>
          <w:rFonts w:eastAsia="Calibri"/>
          <w:color w:val="000000" w:themeColor="text1"/>
          <w:lang w:val="en-US"/>
        </w:rPr>
      </w:pPr>
      <w:r w:rsidRPr="00562954">
        <w:rPr>
          <w:rFonts w:eastAsia="Calibri"/>
          <w:color w:val="000000" w:themeColor="text1"/>
          <w:lang w:val="en-US"/>
        </w:rPr>
        <w:t xml:space="preserve">Stage II will further reinforce the efforts </w:t>
      </w:r>
      <w:proofErr w:type="gramStart"/>
      <w:r w:rsidRPr="00562954">
        <w:rPr>
          <w:rFonts w:eastAsia="Calibri"/>
          <w:color w:val="000000" w:themeColor="text1"/>
          <w:lang w:val="en-US"/>
        </w:rPr>
        <w:t>in the area of</w:t>
      </w:r>
      <w:proofErr w:type="gramEnd"/>
      <w:r w:rsidRPr="00562954">
        <w:rPr>
          <w:rFonts w:eastAsia="Calibri"/>
          <w:color w:val="000000" w:themeColor="text1"/>
          <w:lang w:val="en-US"/>
        </w:rPr>
        <w:t xml:space="preserve"> development of professional standards of technicians and strengthening vocational education and training in Air Conditioning &amp; Refrigeration. </w:t>
      </w:r>
    </w:p>
    <w:p w14:paraId="5307C1EC" w14:textId="77777777" w:rsidR="000A6BA4" w:rsidRPr="000A6BA4" w:rsidRDefault="000A6BA4" w:rsidP="000A6BA4"/>
    <w:p w14:paraId="071A488E" w14:textId="32C54824" w:rsidR="000E78AF" w:rsidRPr="00FA6BFF" w:rsidRDefault="00D80AA6" w:rsidP="00D80AA6">
      <w:pPr>
        <w:pStyle w:val="Caption"/>
        <w:rPr>
          <w:i w:val="0"/>
          <w:color w:val="auto"/>
          <w:sz w:val="22"/>
          <w:szCs w:val="22"/>
          <w:u w:val="single"/>
        </w:rPr>
      </w:pPr>
      <w:r w:rsidRPr="00FA6BFF">
        <w:rPr>
          <w:i w:val="0"/>
          <w:color w:val="auto"/>
          <w:sz w:val="22"/>
          <w:szCs w:val="22"/>
        </w:rPr>
        <w:t xml:space="preserve">Table </w:t>
      </w:r>
      <w:r w:rsidR="00234F63" w:rsidRPr="00FA6BFF">
        <w:rPr>
          <w:i w:val="0"/>
          <w:color w:val="auto"/>
          <w:sz w:val="22"/>
          <w:szCs w:val="22"/>
        </w:rPr>
        <w:t>1</w:t>
      </w:r>
      <w:r w:rsidR="00E96908">
        <w:rPr>
          <w:i w:val="0"/>
          <w:color w:val="auto"/>
          <w:sz w:val="22"/>
          <w:szCs w:val="22"/>
        </w:rPr>
        <w:t>3</w:t>
      </w:r>
      <w:r w:rsidRPr="00FA6BFF">
        <w:rPr>
          <w:i w:val="0"/>
          <w:color w:val="auto"/>
          <w:sz w:val="22"/>
          <w:szCs w:val="22"/>
        </w:rPr>
        <w:t xml:space="preserve">: </w:t>
      </w:r>
      <w:r w:rsidR="000E78AF" w:rsidRPr="00FA6BFF">
        <w:rPr>
          <w:i w:val="0"/>
          <w:color w:val="auto"/>
          <w:sz w:val="22"/>
          <w:szCs w:val="22"/>
          <w:u w:val="single"/>
        </w:rPr>
        <w:t xml:space="preserve">Progress and Activities for Stage </w:t>
      </w:r>
      <w:r w:rsidR="003E0E47" w:rsidRPr="00FA6BFF">
        <w:rPr>
          <w:i w:val="0"/>
          <w:color w:val="auto"/>
          <w:sz w:val="22"/>
          <w:szCs w:val="22"/>
          <w:u w:val="single"/>
        </w:rPr>
        <w:t>I</w:t>
      </w:r>
      <w:r w:rsidR="00E94229" w:rsidRPr="00FA6BFF">
        <w:rPr>
          <w:i w:val="0"/>
          <w:color w:val="auto"/>
          <w:sz w:val="22"/>
          <w:szCs w:val="22"/>
          <w:u w:val="single"/>
        </w:rPr>
        <w:t>I</w:t>
      </w:r>
      <w:r w:rsidR="000E78AF" w:rsidRPr="00FA6BFF">
        <w:rPr>
          <w:i w:val="0"/>
          <w:color w:val="auto"/>
          <w:sz w:val="22"/>
          <w:szCs w:val="22"/>
          <w:u w:val="single"/>
        </w:rPr>
        <w:t xml:space="preserve"> – Tran</w:t>
      </w:r>
      <w:r w:rsidR="00915B56" w:rsidRPr="00FA6BFF">
        <w:rPr>
          <w:i w:val="0"/>
          <w:color w:val="auto"/>
          <w:sz w:val="22"/>
          <w:szCs w:val="22"/>
          <w:u w:val="single"/>
        </w:rPr>
        <w:t xml:space="preserve">che </w:t>
      </w:r>
      <w:r w:rsidR="0020384A" w:rsidRPr="00FA6BFF">
        <w:rPr>
          <w:i w:val="0"/>
          <w:color w:val="auto"/>
          <w:sz w:val="22"/>
          <w:szCs w:val="22"/>
          <w:u w:val="single"/>
        </w:rPr>
        <w:t>2</w:t>
      </w:r>
    </w:p>
    <w:p w14:paraId="3DD89D3B" w14:textId="77777777" w:rsidR="00662466" w:rsidRDefault="00662466" w:rsidP="00662466">
      <w:pPr>
        <w:rPr>
          <w:lang w:val="en-US"/>
        </w:rPr>
      </w:pPr>
    </w:p>
    <w:tbl>
      <w:tblPr>
        <w:tblW w:w="980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352"/>
        <w:gridCol w:w="3330"/>
        <w:gridCol w:w="1440"/>
        <w:gridCol w:w="1150"/>
      </w:tblGrid>
      <w:tr w:rsidR="00662466" w:rsidRPr="00662466" w14:paraId="181F41B1" w14:textId="77777777" w:rsidTr="00A92397">
        <w:tc>
          <w:tcPr>
            <w:tcW w:w="1530" w:type="dxa"/>
            <w:shd w:val="clear" w:color="auto" w:fill="auto"/>
          </w:tcPr>
          <w:p w14:paraId="4CCF051F" w14:textId="77777777" w:rsidR="00662466" w:rsidRPr="00662466" w:rsidRDefault="00662466" w:rsidP="003547EA">
            <w:pPr>
              <w:jc w:val="center"/>
              <w:rPr>
                <w:b/>
                <w:bCs/>
                <w:sz w:val="18"/>
                <w:szCs w:val="18"/>
              </w:rPr>
            </w:pPr>
            <w:r w:rsidRPr="00662466">
              <w:rPr>
                <w:b/>
                <w:bCs/>
                <w:sz w:val="18"/>
                <w:szCs w:val="18"/>
              </w:rPr>
              <w:t>Component</w:t>
            </w:r>
          </w:p>
        </w:tc>
        <w:tc>
          <w:tcPr>
            <w:tcW w:w="2352" w:type="dxa"/>
            <w:shd w:val="clear" w:color="auto" w:fill="auto"/>
          </w:tcPr>
          <w:p w14:paraId="3D0442D7" w14:textId="77777777" w:rsidR="00662466" w:rsidRPr="00662466" w:rsidRDefault="00662466" w:rsidP="003547EA">
            <w:pPr>
              <w:jc w:val="center"/>
              <w:rPr>
                <w:b/>
                <w:bCs/>
                <w:sz w:val="18"/>
                <w:szCs w:val="18"/>
              </w:rPr>
            </w:pPr>
            <w:r w:rsidRPr="00662466">
              <w:rPr>
                <w:b/>
                <w:bCs/>
                <w:sz w:val="18"/>
                <w:szCs w:val="18"/>
              </w:rPr>
              <w:t>Progress</w:t>
            </w:r>
          </w:p>
        </w:tc>
        <w:tc>
          <w:tcPr>
            <w:tcW w:w="3330" w:type="dxa"/>
            <w:shd w:val="clear" w:color="auto" w:fill="auto"/>
            <w:vAlign w:val="center"/>
          </w:tcPr>
          <w:p w14:paraId="6784FE01" w14:textId="556D51F0" w:rsidR="00662466" w:rsidRPr="00662466" w:rsidRDefault="00662466" w:rsidP="003547EA">
            <w:pPr>
              <w:jc w:val="center"/>
              <w:rPr>
                <w:b/>
                <w:bCs/>
                <w:i/>
                <w:iCs/>
                <w:sz w:val="18"/>
                <w:szCs w:val="18"/>
              </w:rPr>
            </w:pPr>
            <w:r w:rsidRPr="00662466">
              <w:rPr>
                <w:b/>
                <w:bCs/>
                <w:sz w:val="18"/>
                <w:szCs w:val="18"/>
              </w:rPr>
              <w:t>Stage II tranche 2</w:t>
            </w:r>
          </w:p>
        </w:tc>
        <w:tc>
          <w:tcPr>
            <w:tcW w:w="1440" w:type="dxa"/>
          </w:tcPr>
          <w:p w14:paraId="56815765" w14:textId="77777777" w:rsidR="00662466" w:rsidRDefault="00662466" w:rsidP="003547EA">
            <w:pPr>
              <w:ind w:right="72"/>
              <w:jc w:val="center"/>
              <w:rPr>
                <w:b/>
                <w:bCs/>
                <w:sz w:val="18"/>
                <w:szCs w:val="18"/>
              </w:rPr>
            </w:pPr>
            <w:r w:rsidRPr="00662466">
              <w:rPr>
                <w:b/>
                <w:bCs/>
                <w:sz w:val="18"/>
                <w:szCs w:val="18"/>
              </w:rPr>
              <w:t>Remaining of tranche 1</w:t>
            </w:r>
            <w:r w:rsidR="009D5232">
              <w:rPr>
                <w:rStyle w:val="FootnoteReference"/>
                <w:b/>
                <w:bCs/>
                <w:sz w:val="18"/>
                <w:szCs w:val="18"/>
              </w:rPr>
              <w:footnoteReference w:id="3"/>
            </w:r>
          </w:p>
          <w:p w14:paraId="74116CA3" w14:textId="76E5CCA9" w:rsidR="006C45A7" w:rsidRPr="00662466" w:rsidRDefault="006C45A7" w:rsidP="003547EA">
            <w:pPr>
              <w:ind w:right="72"/>
              <w:jc w:val="center"/>
              <w:rPr>
                <w:b/>
                <w:bCs/>
                <w:sz w:val="18"/>
                <w:szCs w:val="18"/>
              </w:rPr>
            </w:pPr>
            <w:r>
              <w:rPr>
                <w:b/>
                <w:bCs/>
                <w:sz w:val="18"/>
                <w:szCs w:val="18"/>
              </w:rPr>
              <w:t>USD</w:t>
            </w:r>
          </w:p>
        </w:tc>
        <w:tc>
          <w:tcPr>
            <w:tcW w:w="1150" w:type="dxa"/>
          </w:tcPr>
          <w:p w14:paraId="66DF8A87" w14:textId="77777777" w:rsidR="00662466" w:rsidRDefault="00662466" w:rsidP="003547EA">
            <w:pPr>
              <w:jc w:val="center"/>
              <w:rPr>
                <w:b/>
                <w:bCs/>
                <w:sz w:val="18"/>
                <w:szCs w:val="18"/>
              </w:rPr>
            </w:pPr>
            <w:r w:rsidRPr="00662466">
              <w:rPr>
                <w:b/>
                <w:bCs/>
                <w:sz w:val="18"/>
                <w:szCs w:val="18"/>
              </w:rPr>
              <w:t>Tranche 2</w:t>
            </w:r>
          </w:p>
          <w:p w14:paraId="5B81A838" w14:textId="6F7BBC04" w:rsidR="006C45A7" w:rsidRPr="00662466" w:rsidRDefault="006C45A7" w:rsidP="003547EA">
            <w:pPr>
              <w:jc w:val="center"/>
              <w:rPr>
                <w:b/>
                <w:bCs/>
                <w:sz w:val="18"/>
                <w:szCs w:val="18"/>
              </w:rPr>
            </w:pPr>
            <w:r>
              <w:rPr>
                <w:b/>
                <w:bCs/>
                <w:sz w:val="18"/>
                <w:szCs w:val="18"/>
              </w:rPr>
              <w:t>USD</w:t>
            </w:r>
          </w:p>
        </w:tc>
      </w:tr>
      <w:tr w:rsidR="00C62A43" w:rsidRPr="00662466" w14:paraId="1FBB7D3F" w14:textId="77777777" w:rsidTr="00A92397">
        <w:tc>
          <w:tcPr>
            <w:tcW w:w="1530" w:type="dxa"/>
            <w:shd w:val="clear" w:color="auto" w:fill="auto"/>
            <w:vAlign w:val="center"/>
          </w:tcPr>
          <w:p w14:paraId="0227D282" w14:textId="77777777" w:rsidR="00C62A43" w:rsidRPr="00662466" w:rsidRDefault="00C62A43" w:rsidP="00C62A43">
            <w:pPr>
              <w:jc w:val="left"/>
              <w:rPr>
                <w:color w:val="000000"/>
                <w:sz w:val="18"/>
                <w:szCs w:val="18"/>
              </w:rPr>
            </w:pPr>
            <w:r w:rsidRPr="00662466">
              <w:rPr>
                <w:color w:val="000000"/>
                <w:sz w:val="18"/>
                <w:szCs w:val="18"/>
                <w:lang w:val="en-US" w:eastAsia="ja-JP"/>
              </w:rPr>
              <w:t>Component 1: Legal and Regulatory measures</w:t>
            </w:r>
          </w:p>
        </w:tc>
        <w:tc>
          <w:tcPr>
            <w:tcW w:w="2352" w:type="dxa"/>
            <w:shd w:val="clear" w:color="auto" w:fill="auto"/>
          </w:tcPr>
          <w:p w14:paraId="48AB7F33" w14:textId="51023AFB" w:rsidR="00C62A43" w:rsidRDefault="00C62A43" w:rsidP="00C62A43">
            <w:pPr>
              <w:jc w:val="left"/>
              <w:rPr>
                <w:sz w:val="18"/>
                <w:szCs w:val="18"/>
                <w:lang w:val="en-US"/>
              </w:rPr>
            </w:pPr>
            <w:r>
              <w:rPr>
                <w:sz w:val="18"/>
                <w:szCs w:val="18"/>
                <w:lang w:val="en-US"/>
              </w:rPr>
              <w:t>After ratification of the Kigali amendment in Georgia on 05 May 2023,</w:t>
            </w:r>
            <w:r w:rsidRPr="00886773">
              <w:rPr>
                <w:sz w:val="18"/>
                <w:szCs w:val="18"/>
                <w:lang w:val="en-US"/>
              </w:rPr>
              <w:t xml:space="preserve"> package of legislative changes was adopted</w:t>
            </w:r>
            <w:r>
              <w:rPr>
                <w:sz w:val="18"/>
                <w:szCs w:val="18"/>
                <w:lang w:val="en-US"/>
              </w:rPr>
              <w:t xml:space="preserve"> </w:t>
            </w:r>
            <w:r w:rsidRPr="004A6017">
              <w:rPr>
                <w:sz w:val="18"/>
                <w:szCs w:val="18"/>
                <w:lang w:val="en-US"/>
              </w:rPr>
              <w:t xml:space="preserve">on 16 </w:t>
            </w:r>
            <w:proofErr w:type="gramStart"/>
            <w:r w:rsidRPr="004A6017">
              <w:rPr>
                <w:sz w:val="18"/>
                <w:szCs w:val="18"/>
                <w:lang w:val="en-US"/>
              </w:rPr>
              <w:t>June,</w:t>
            </w:r>
            <w:proofErr w:type="gramEnd"/>
            <w:r w:rsidRPr="004A6017">
              <w:rPr>
                <w:sz w:val="18"/>
                <w:szCs w:val="18"/>
                <w:lang w:val="en-US"/>
              </w:rPr>
              <w:t xml:space="preserve"> 2023. According to these legislative changes using the </w:t>
            </w:r>
            <w:r w:rsidRPr="00FA52CA">
              <w:rPr>
                <w:sz w:val="18"/>
                <w:szCs w:val="18"/>
                <w:lang w:val="en-US"/>
              </w:rPr>
              <w:t>web-based electronic reporting and permit system</w:t>
            </w:r>
            <w:r>
              <w:rPr>
                <w:sz w:val="18"/>
                <w:szCs w:val="18"/>
                <w:lang w:val="en-US"/>
              </w:rPr>
              <w:t xml:space="preserve"> is in force since January 2024. </w:t>
            </w:r>
            <w:r w:rsidRPr="00700590">
              <w:rPr>
                <w:sz w:val="18"/>
                <w:szCs w:val="18"/>
                <w:lang w:val="en-US"/>
              </w:rPr>
              <w:t>As the web-based</w:t>
            </w:r>
            <w:r>
              <w:rPr>
                <w:sz w:val="18"/>
                <w:szCs w:val="18"/>
                <w:lang w:val="en-US"/>
              </w:rPr>
              <w:t xml:space="preserve"> electronic</w:t>
            </w:r>
            <w:r w:rsidRPr="00700590">
              <w:rPr>
                <w:sz w:val="18"/>
                <w:szCs w:val="18"/>
                <w:lang w:val="en-US"/>
              </w:rPr>
              <w:t xml:space="preserve"> system is intensively used since the beginning of this year, with N</w:t>
            </w:r>
            <w:r w:rsidR="00F43B15">
              <w:rPr>
                <w:sz w:val="18"/>
                <w:szCs w:val="18"/>
                <w:lang w:val="en-US"/>
              </w:rPr>
              <w:t>O</w:t>
            </w:r>
            <w:r w:rsidRPr="00700590">
              <w:rPr>
                <w:sz w:val="18"/>
                <w:szCs w:val="18"/>
                <w:lang w:val="en-US"/>
              </w:rPr>
              <w:t xml:space="preserve">U’s request it is intensively observed, to collect all the needed changes for sophistication of the System. </w:t>
            </w:r>
            <w:r>
              <w:rPr>
                <w:sz w:val="18"/>
                <w:szCs w:val="18"/>
                <w:lang w:val="en-US"/>
              </w:rPr>
              <w:t>C</w:t>
            </w:r>
            <w:r w:rsidRPr="00700590">
              <w:rPr>
                <w:sz w:val="18"/>
                <w:szCs w:val="18"/>
                <w:lang w:val="en-US"/>
              </w:rPr>
              <w:t xml:space="preserve">hanges </w:t>
            </w:r>
            <w:r>
              <w:rPr>
                <w:sz w:val="18"/>
                <w:szCs w:val="18"/>
                <w:lang w:val="en-US"/>
              </w:rPr>
              <w:t>might be needed for the</w:t>
            </w:r>
            <w:r w:rsidRPr="00700590">
              <w:rPr>
                <w:sz w:val="18"/>
                <w:szCs w:val="18"/>
                <w:lang w:val="en-US"/>
              </w:rPr>
              <w:t xml:space="preserve"> system upgrade. </w:t>
            </w:r>
          </w:p>
          <w:p w14:paraId="419EB1E0" w14:textId="77777777" w:rsidR="00C62A43" w:rsidRDefault="00C62A43" w:rsidP="00C62A43">
            <w:pPr>
              <w:jc w:val="left"/>
              <w:rPr>
                <w:sz w:val="18"/>
                <w:szCs w:val="18"/>
                <w:lang w:val="en-US"/>
              </w:rPr>
            </w:pPr>
          </w:p>
          <w:p w14:paraId="69D5575E" w14:textId="5D9D8892" w:rsidR="00C62A43" w:rsidRDefault="00C62A43" w:rsidP="00C62A43">
            <w:pPr>
              <w:jc w:val="left"/>
              <w:rPr>
                <w:sz w:val="18"/>
                <w:szCs w:val="18"/>
                <w:lang w:val="en-US"/>
              </w:rPr>
            </w:pPr>
            <w:r>
              <w:rPr>
                <w:sz w:val="18"/>
                <w:szCs w:val="18"/>
                <w:lang w:val="en-US"/>
              </w:rPr>
              <w:t xml:space="preserve">20 trainings had been conducted </w:t>
            </w:r>
            <w:r w:rsidRPr="00FA52CA">
              <w:rPr>
                <w:sz w:val="18"/>
                <w:szCs w:val="18"/>
                <w:lang w:val="en-US"/>
              </w:rPr>
              <w:t>for end-users</w:t>
            </w:r>
            <w:r>
              <w:rPr>
                <w:sz w:val="18"/>
                <w:szCs w:val="18"/>
                <w:lang w:val="en-US"/>
              </w:rPr>
              <w:t xml:space="preserve">, environmental inspectors </w:t>
            </w:r>
            <w:r w:rsidRPr="00FA52CA">
              <w:rPr>
                <w:sz w:val="18"/>
                <w:szCs w:val="18"/>
                <w:lang w:val="en-US"/>
              </w:rPr>
              <w:t>and technicians for using the electronic reporting tool</w:t>
            </w:r>
            <w:r w:rsidRPr="004A6017">
              <w:rPr>
                <w:sz w:val="18"/>
                <w:szCs w:val="18"/>
                <w:lang w:val="en-US"/>
              </w:rPr>
              <w:t xml:space="preserve">.  </w:t>
            </w:r>
            <w:r w:rsidRPr="00700590">
              <w:rPr>
                <w:sz w:val="18"/>
                <w:szCs w:val="18"/>
                <w:lang w:val="en-US"/>
              </w:rPr>
              <w:t>In Total</w:t>
            </w:r>
            <w:r w:rsidRPr="004A6017">
              <w:rPr>
                <w:sz w:val="18"/>
                <w:szCs w:val="18"/>
                <w:lang w:val="en-US"/>
              </w:rPr>
              <w:t xml:space="preserve"> </w:t>
            </w:r>
            <w:r>
              <w:rPr>
                <w:sz w:val="18"/>
                <w:szCs w:val="18"/>
                <w:lang w:val="en-US"/>
              </w:rPr>
              <w:t>336</w:t>
            </w:r>
            <w:r w:rsidRPr="00700590">
              <w:rPr>
                <w:sz w:val="18"/>
                <w:szCs w:val="18"/>
                <w:lang w:val="en-US"/>
              </w:rPr>
              <w:t xml:space="preserve"> persons were trained.</w:t>
            </w:r>
            <w:r>
              <w:rPr>
                <w:sz w:val="18"/>
                <w:szCs w:val="18"/>
                <w:lang w:val="en-US"/>
              </w:rPr>
              <w:t xml:space="preserve"> Among them 55 females (16 %). </w:t>
            </w:r>
          </w:p>
          <w:p w14:paraId="3885AA75" w14:textId="77777777" w:rsidR="00C62A43" w:rsidRDefault="00C62A43" w:rsidP="00C62A43">
            <w:pPr>
              <w:jc w:val="left"/>
              <w:rPr>
                <w:sz w:val="18"/>
                <w:szCs w:val="18"/>
                <w:lang w:val="en-US"/>
              </w:rPr>
            </w:pPr>
          </w:p>
          <w:p w14:paraId="166DBA5E" w14:textId="77777777" w:rsidR="00C62A43" w:rsidRPr="00E25BE6" w:rsidRDefault="00C62A43" w:rsidP="00C62A43">
            <w:pPr>
              <w:jc w:val="left"/>
              <w:rPr>
                <w:sz w:val="18"/>
                <w:szCs w:val="18"/>
                <w:lang w:val="en-US"/>
              </w:rPr>
            </w:pPr>
            <w:r w:rsidRPr="00E25BE6">
              <w:rPr>
                <w:sz w:val="18"/>
                <w:szCs w:val="18"/>
                <w:lang w:val="en-US"/>
              </w:rPr>
              <w:t>The web-based electronic reporting and permit system for HCFC import and consumption is completed.</w:t>
            </w:r>
          </w:p>
          <w:p w14:paraId="7AE92743" w14:textId="77777777" w:rsidR="00C62A43" w:rsidRDefault="00C62A43" w:rsidP="00C62A43">
            <w:pPr>
              <w:jc w:val="left"/>
              <w:rPr>
                <w:sz w:val="18"/>
                <w:szCs w:val="18"/>
                <w:lang w:val="en-US"/>
              </w:rPr>
            </w:pPr>
          </w:p>
          <w:p w14:paraId="62A4121A" w14:textId="6F98A20E" w:rsidR="00C62A43" w:rsidRDefault="00C62A43" w:rsidP="00C62A43">
            <w:pPr>
              <w:jc w:val="left"/>
              <w:rPr>
                <w:sz w:val="18"/>
                <w:szCs w:val="18"/>
                <w:lang w:val="en-US"/>
              </w:rPr>
            </w:pPr>
            <w:r>
              <w:rPr>
                <w:sz w:val="18"/>
                <w:szCs w:val="18"/>
                <w:lang w:val="en-US"/>
              </w:rPr>
              <w:t xml:space="preserve">Developing the </w:t>
            </w:r>
            <w:r w:rsidRPr="00FA52CA">
              <w:rPr>
                <w:sz w:val="18"/>
                <w:szCs w:val="18"/>
                <w:lang w:val="en-US"/>
              </w:rPr>
              <w:t xml:space="preserve">necessary legislative acts for introducing Green Public Procurement (GPP) criteria for procuring environmentally friendly </w:t>
            </w:r>
            <w:r w:rsidRPr="00FA52CA">
              <w:rPr>
                <w:sz w:val="18"/>
                <w:szCs w:val="18"/>
                <w:lang w:val="en-US"/>
              </w:rPr>
              <w:lastRenderedPageBreak/>
              <w:t>RAC systems</w:t>
            </w:r>
            <w:r>
              <w:rPr>
                <w:sz w:val="18"/>
                <w:szCs w:val="18"/>
                <w:lang w:val="en-US"/>
              </w:rPr>
              <w:t xml:space="preserve"> is in progress. Will be finalized by the end of November 2024.</w:t>
            </w:r>
          </w:p>
          <w:p w14:paraId="4B575592" w14:textId="77777777" w:rsidR="00C62A43" w:rsidRDefault="00C62A43" w:rsidP="00C62A43">
            <w:pPr>
              <w:jc w:val="left"/>
              <w:rPr>
                <w:sz w:val="18"/>
                <w:szCs w:val="18"/>
                <w:lang w:val="en-US"/>
              </w:rPr>
            </w:pPr>
          </w:p>
          <w:p w14:paraId="384D56B6" w14:textId="0CE95FC6" w:rsidR="00C62A43" w:rsidRPr="004A6017" w:rsidRDefault="00C62A43" w:rsidP="00C62A43">
            <w:pPr>
              <w:jc w:val="left"/>
              <w:rPr>
                <w:sz w:val="18"/>
                <w:szCs w:val="18"/>
                <w:lang w:val="en-US"/>
              </w:rPr>
            </w:pPr>
            <w:r>
              <w:rPr>
                <w:sz w:val="18"/>
                <w:szCs w:val="18"/>
                <w:lang w:val="en-US"/>
              </w:rPr>
              <w:t xml:space="preserve"> D</w:t>
            </w:r>
            <w:r w:rsidRPr="00FA52CA">
              <w:rPr>
                <w:sz w:val="18"/>
                <w:szCs w:val="18"/>
                <w:lang w:val="en-US"/>
              </w:rPr>
              <w:t>etailed study on policy options for incentivizing the HCFC reuse management</w:t>
            </w:r>
            <w:r>
              <w:rPr>
                <w:sz w:val="18"/>
                <w:szCs w:val="18"/>
                <w:lang w:val="en-US"/>
              </w:rPr>
              <w:t xml:space="preserve"> is completed. Necessary legislative amendment package will be developed by the end of </w:t>
            </w:r>
            <w:proofErr w:type="gramStart"/>
            <w:r>
              <w:rPr>
                <w:sz w:val="18"/>
                <w:szCs w:val="18"/>
                <w:lang w:val="en-US"/>
              </w:rPr>
              <w:t>November,</w:t>
            </w:r>
            <w:proofErr w:type="gramEnd"/>
            <w:r>
              <w:rPr>
                <w:sz w:val="18"/>
                <w:szCs w:val="18"/>
                <w:lang w:val="en-US"/>
              </w:rPr>
              <w:t xml:space="preserve"> 2024. </w:t>
            </w:r>
          </w:p>
          <w:p w14:paraId="478D3BFF" w14:textId="77777777" w:rsidR="00C62A43" w:rsidRDefault="00C62A43" w:rsidP="00C62A43">
            <w:pPr>
              <w:jc w:val="left"/>
              <w:rPr>
                <w:sz w:val="18"/>
                <w:szCs w:val="18"/>
                <w:lang w:val="en-US"/>
              </w:rPr>
            </w:pPr>
          </w:p>
          <w:p w14:paraId="5C43D26A" w14:textId="3C19DF03" w:rsidR="00C62A43" w:rsidRDefault="00C62A43" w:rsidP="00C62A43">
            <w:pPr>
              <w:jc w:val="left"/>
              <w:rPr>
                <w:sz w:val="18"/>
                <w:szCs w:val="18"/>
                <w:lang w:val="en-US"/>
              </w:rPr>
            </w:pPr>
            <w:r>
              <w:rPr>
                <w:sz w:val="18"/>
                <w:szCs w:val="18"/>
                <w:lang w:val="en-US"/>
              </w:rPr>
              <w:t>P</w:t>
            </w:r>
            <w:r w:rsidRPr="00FA52CA">
              <w:rPr>
                <w:sz w:val="18"/>
                <w:szCs w:val="18"/>
                <w:lang w:val="en-US"/>
              </w:rPr>
              <w:t>rofessional qualification standards for the Level 4 Technicians</w:t>
            </w:r>
            <w:r>
              <w:rPr>
                <w:sz w:val="18"/>
                <w:szCs w:val="18"/>
                <w:lang w:val="en-US"/>
              </w:rPr>
              <w:t xml:space="preserve"> </w:t>
            </w:r>
            <w:proofErr w:type="gramStart"/>
            <w:r>
              <w:rPr>
                <w:sz w:val="18"/>
                <w:szCs w:val="18"/>
                <w:lang w:val="en-US"/>
              </w:rPr>
              <w:t>is</w:t>
            </w:r>
            <w:proofErr w:type="gramEnd"/>
            <w:r>
              <w:rPr>
                <w:sz w:val="18"/>
                <w:szCs w:val="18"/>
                <w:lang w:val="en-US"/>
              </w:rPr>
              <w:t xml:space="preserve"> developed in close cooperation with the Skills Development Agency and Ministry of Education; </w:t>
            </w:r>
          </w:p>
          <w:p w14:paraId="30EC2392" w14:textId="77777777" w:rsidR="00C62A43" w:rsidRDefault="00C62A43" w:rsidP="00C62A43">
            <w:pPr>
              <w:jc w:val="left"/>
              <w:rPr>
                <w:sz w:val="18"/>
                <w:szCs w:val="18"/>
                <w:lang w:val="en-US"/>
              </w:rPr>
            </w:pPr>
            <w:r>
              <w:rPr>
                <w:sz w:val="18"/>
                <w:szCs w:val="18"/>
                <w:lang w:val="en-US"/>
              </w:rPr>
              <w:t>Tests for the certification exams are developed and certification process is on place.</w:t>
            </w:r>
          </w:p>
          <w:p w14:paraId="6E1D6390" w14:textId="6964373A" w:rsidR="00C62A43" w:rsidRDefault="00C62A43" w:rsidP="00C62A43">
            <w:pPr>
              <w:jc w:val="left"/>
              <w:rPr>
                <w:sz w:val="18"/>
                <w:szCs w:val="18"/>
                <w:lang w:val="en-US"/>
              </w:rPr>
            </w:pPr>
            <w:r>
              <w:rPr>
                <w:sz w:val="18"/>
                <w:szCs w:val="18"/>
                <w:lang w:val="en-US"/>
              </w:rPr>
              <w:t>S</w:t>
            </w:r>
            <w:r w:rsidRPr="00FA52CA">
              <w:rPr>
                <w:sz w:val="18"/>
                <w:szCs w:val="18"/>
                <w:lang w:val="en-US"/>
              </w:rPr>
              <w:t xml:space="preserve">tudy on policy options for incentivizing import and use of zero-low GWP based RAC systems </w:t>
            </w:r>
            <w:r>
              <w:rPr>
                <w:sz w:val="18"/>
                <w:szCs w:val="18"/>
                <w:lang w:val="en-US"/>
              </w:rPr>
              <w:t xml:space="preserve">is developed. Necessary legislative amendment package will be developed by the end of </w:t>
            </w:r>
            <w:proofErr w:type="gramStart"/>
            <w:r>
              <w:rPr>
                <w:sz w:val="18"/>
                <w:szCs w:val="18"/>
                <w:lang w:val="en-US"/>
              </w:rPr>
              <w:t>November,</w:t>
            </w:r>
            <w:proofErr w:type="gramEnd"/>
            <w:r>
              <w:rPr>
                <w:sz w:val="18"/>
                <w:szCs w:val="18"/>
                <w:lang w:val="en-US"/>
              </w:rPr>
              <w:t xml:space="preserve"> 2024.</w:t>
            </w:r>
          </w:p>
          <w:p w14:paraId="78818F1C" w14:textId="77777777" w:rsidR="00C62A43" w:rsidRDefault="00C62A43" w:rsidP="00C62A43">
            <w:pPr>
              <w:jc w:val="left"/>
              <w:rPr>
                <w:sz w:val="18"/>
                <w:szCs w:val="18"/>
                <w:lang w:val="en-US"/>
              </w:rPr>
            </w:pPr>
          </w:p>
          <w:p w14:paraId="5160FA65" w14:textId="347061C4" w:rsidR="00C62A43" w:rsidRPr="00662466" w:rsidRDefault="00C62A43" w:rsidP="00C62A43">
            <w:pPr>
              <w:jc w:val="left"/>
              <w:rPr>
                <w:sz w:val="18"/>
                <w:szCs w:val="18"/>
                <w:highlight w:val="yellow"/>
              </w:rPr>
            </w:pPr>
            <w:r w:rsidRPr="00FA52CA">
              <w:rPr>
                <w:sz w:val="18"/>
                <w:szCs w:val="18"/>
                <w:lang w:val="en-US"/>
              </w:rPr>
              <w:t>Update the Standards for Safety and Environmental Requirements</w:t>
            </w:r>
            <w:r>
              <w:rPr>
                <w:sz w:val="18"/>
                <w:szCs w:val="18"/>
                <w:lang w:val="en-US"/>
              </w:rPr>
              <w:t xml:space="preserve"> is in progress and will be finalized by the end of </w:t>
            </w:r>
            <w:proofErr w:type="gramStart"/>
            <w:r>
              <w:rPr>
                <w:sz w:val="18"/>
                <w:szCs w:val="18"/>
                <w:lang w:val="en-US"/>
              </w:rPr>
              <w:t>October,</w:t>
            </w:r>
            <w:proofErr w:type="gramEnd"/>
            <w:r>
              <w:rPr>
                <w:sz w:val="18"/>
                <w:szCs w:val="18"/>
                <w:lang w:val="en-US"/>
              </w:rPr>
              <w:t xml:space="preserve"> 2024.</w:t>
            </w:r>
          </w:p>
        </w:tc>
        <w:tc>
          <w:tcPr>
            <w:tcW w:w="3330" w:type="dxa"/>
            <w:shd w:val="clear" w:color="auto" w:fill="auto"/>
          </w:tcPr>
          <w:p w14:paraId="7CEBA947" w14:textId="013B5347" w:rsidR="00C62A43" w:rsidRPr="00C62A43" w:rsidRDefault="00B67AF5" w:rsidP="00C62A43">
            <w:pPr>
              <w:jc w:val="left"/>
              <w:rPr>
                <w:sz w:val="18"/>
                <w:szCs w:val="18"/>
              </w:rPr>
            </w:pPr>
            <w:r w:rsidRPr="000061E6">
              <w:rPr>
                <w:color w:val="000000"/>
                <w:sz w:val="18"/>
                <w:szCs w:val="18"/>
                <w:lang w:val="en-US" w:eastAsia="ro-RO"/>
              </w:rPr>
              <w:lastRenderedPageBreak/>
              <w:t>Develop regulations for labelling reclaimed refrigerants and placing them on the market</w:t>
            </w:r>
          </w:p>
        </w:tc>
        <w:tc>
          <w:tcPr>
            <w:tcW w:w="1440" w:type="dxa"/>
          </w:tcPr>
          <w:p w14:paraId="77CA0C5D" w14:textId="169CAC98" w:rsidR="00C62A43" w:rsidRPr="00662466" w:rsidRDefault="0004435B" w:rsidP="00C62A43">
            <w:pPr>
              <w:ind w:left="162"/>
              <w:jc w:val="right"/>
              <w:rPr>
                <w:sz w:val="18"/>
                <w:szCs w:val="18"/>
              </w:rPr>
            </w:pPr>
            <w:r>
              <w:rPr>
                <w:sz w:val="18"/>
                <w:szCs w:val="18"/>
              </w:rPr>
              <w:t>9,709.17</w:t>
            </w:r>
          </w:p>
        </w:tc>
        <w:tc>
          <w:tcPr>
            <w:tcW w:w="1150" w:type="dxa"/>
          </w:tcPr>
          <w:p w14:paraId="1D494A7E" w14:textId="02FB1816" w:rsidR="00C62A43" w:rsidRPr="00662466" w:rsidDel="00BE283E" w:rsidRDefault="00B67AF5" w:rsidP="00C62A43">
            <w:pPr>
              <w:ind w:left="72"/>
              <w:jc w:val="right"/>
              <w:rPr>
                <w:sz w:val="18"/>
                <w:szCs w:val="18"/>
              </w:rPr>
            </w:pPr>
            <w:r>
              <w:rPr>
                <w:sz w:val="18"/>
                <w:szCs w:val="18"/>
              </w:rPr>
              <w:t>4,0</w:t>
            </w:r>
            <w:r w:rsidR="00C62A43" w:rsidRPr="00662466">
              <w:rPr>
                <w:sz w:val="18"/>
                <w:szCs w:val="18"/>
              </w:rPr>
              <w:t>00</w:t>
            </w:r>
          </w:p>
        </w:tc>
      </w:tr>
      <w:tr w:rsidR="00B67AF5" w:rsidRPr="00662466" w14:paraId="040E0A0F" w14:textId="77777777" w:rsidTr="00A92397">
        <w:tc>
          <w:tcPr>
            <w:tcW w:w="1530" w:type="dxa"/>
            <w:shd w:val="clear" w:color="auto" w:fill="auto"/>
          </w:tcPr>
          <w:p w14:paraId="76C09993" w14:textId="7FCE18F9" w:rsidR="00B67AF5" w:rsidRPr="00662466" w:rsidRDefault="00B67AF5" w:rsidP="00B67AF5">
            <w:pPr>
              <w:jc w:val="left"/>
              <w:rPr>
                <w:sz w:val="18"/>
                <w:szCs w:val="18"/>
                <w:highlight w:val="cyan"/>
              </w:rPr>
            </w:pPr>
            <w:bookmarkStart w:id="25" w:name="_Hlk177575175"/>
            <w:r w:rsidRPr="00C85C85">
              <w:rPr>
                <w:color w:val="000000"/>
                <w:sz w:val="18"/>
                <w:szCs w:val="18"/>
                <w:lang w:val="en-US" w:eastAsia="ja-JP"/>
              </w:rPr>
              <w:t>Component 2: Capacity building training</w:t>
            </w:r>
          </w:p>
        </w:tc>
        <w:tc>
          <w:tcPr>
            <w:tcW w:w="2352" w:type="dxa"/>
            <w:shd w:val="clear" w:color="auto" w:fill="auto"/>
          </w:tcPr>
          <w:p w14:paraId="47B5BD03" w14:textId="4101547A" w:rsidR="00B67AF5" w:rsidRDefault="00B67AF5" w:rsidP="00B67AF5">
            <w:pPr>
              <w:jc w:val="left"/>
              <w:rPr>
                <w:sz w:val="18"/>
                <w:szCs w:val="18"/>
                <w:lang w:val="en-US"/>
              </w:rPr>
            </w:pPr>
            <w:r>
              <w:rPr>
                <w:sz w:val="18"/>
                <w:szCs w:val="18"/>
                <w:lang w:val="en-US"/>
              </w:rPr>
              <w:t xml:space="preserve">2.1. </w:t>
            </w:r>
            <w:r w:rsidRPr="00367E86">
              <w:rPr>
                <w:sz w:val="18"/>
                <w:szCs w:val="18"/>
                <w:lang w:val="en-US"/>
              </w:rPr>
              <w:t xml:space="preserve">Trainer is hired and </w:t>
            </w:r>
            <w:proofErr w:type="spellStart"/>
            <w:r>
              <w:rPr>
                <w:sz w:val="18"/>
                <w:szCs w:val="18"/>
                <w:lang w:val="en-US"/>
              </w:rPr>
              <w:t>ToTs</w:t>
            </w:r>
            <w:proofErr w:type="spellEnd"/>
            <w:r w:rsidRPr="00367E86">
              <w:rPr>
                <w:sz w:val="18"/>
                <w:szCs w:val="18"/>
                <w:lang w:val="en-US"/>
              </w:rPr>
              <w:t xml:space="preserve"> will be conducted before the end of November 2024.</w:t>
            </w:r>
          </w:p>
          <w:p w14:paraId="443E32EC" w14:textId="77777777" w:rsidR="00B67AF5" w:rsidRDefault="00B67AF5" w:rsidP="00B67AF5">
            <w:pPr>
              <w:jc w:val="left"/>
              <w:rPr>
                <w:sz w:val="18"/>
                <w:szCs w:val="18"/>
                <w:lang w:val="en-US"/>
              </w:rPr>
            </w:pPr>
          </w:p>
          <w:p w14:paraId="2220FD6D" w14:textId="574DD874" w:rsidR="00B67AF5" w:rsidRPr="004A6017" w:rsidRDefault="00B67AF5" w:rsidP="00B67AF5">
            <w:pPr>
              <w:rPr>
                <w:sz w:val="18"/>
                <w:szCs w:val="18"/>
                <w:lang w:val="en-US"/>
              </w:rPr>
            </w:pPr>
            <w:r>
              <w:rPr>
                <w:sz w:val="18"/>
                <w:szCs w:val="18"/>
                <w:lang w:val="en-US"/>
              </w:rPr>
              <w:t>2.3.</w:t>
            </w:r>
            <w:r w:rsidR="00F936CB">
              <w:rPr>
                <w:sz w:val="18"/>
                <w:szCs w:val="18"/>
                <w:lang w:val="en-US"/>
              </w:rPr>
              <w:t xml:space="preserve"> </w:t>
            </w:r>
            <w:r w:rsidRPr="004A6017">
              <w:rPr>
                <w:sz w:val="18"/>
                <w:szCs w:val="18"/>
                <w:lang w:val="en-US"/>
              </w:rPr>
              <w:t xml:space="preserve">Trainings for technicians on good refrigeration practices and alternative refrigerants had been conducted in January 2024. Through the 10 training sessions up to 200 technicians were trained. </w:t>
            </w:r>
          </w:p>
          <w:p w14:paraId="66A6F033" w14:textId="77777777" w:rsidR="00B67AF5" w:rsidRPr="004A6017" w:rsidRDefault="00B67AF5" w:rsidP="00B67AF5">
            <w:pPr>
              <w:rPr>
                <w:sz w:val="18"/>
                <w:szCs w:val="18"/>
                <w:lang w:val="en-US"/>
              </w:rPr>
            </w:pPr>
          </w:p>
          <w:p w14:paraId="08308CFD" w14:textId="21345E47" w:rsidR="00B67AF5" w:rsidRPr="004A6017" w:rsidRDefault="00B67AF5" w:rsidP="00B67AF5">
            <w:pPr>
              <w:rPr>
                <w:sz w:val="18"/>
                <w:szCs w:val="18"/>
                <w:lang w:val="en-US"/>
              </w:rPr>
            </w:pPr>
            <w:r w:rsidRPr="004A6017">
              <w:rPr>
                <w:sz w:val="18"/>
                <w:szCs w:val="18"/>
                <w:lang w:val="en-US"/>
              </w:rPr>
              <w:t xml:space="preserve">2.4. Test for practical exams to be integrated in the certification examination had been developed and submitted to </w:t>
            </w:r>
            <w:proofErr w:type="spellStart"/>
            <w:r w:rsidRPr="004A6017">
              <w:rPr>
                <w:sz w:val="18"/>
                <w:szCs w:val="18"/>
                <w:lang w:val="en-US"/>
              </w:rPr>
              <w:t>MoEPA</w:t>
            </w:r>
            <w:proofErr w:type="spellEnd"/>
            <w:r w:rsidRPr="004A6017">
              <w:rPr>
                <w:sz w:val="18"/>
                <w:szCs w:val="18"/>
                <w:lang w:val="en-US"/>
              </w:rPr>
              <w:t>.</w:t>
            </w:r>
          </w:p>
          <w:p w14:paraId="499D7BEF" w14:textId="77777777" w:rsidR="00B67AF5" w:rsidRPr="004A6017" w:rsidRDefault="00B67AF5" w:rsidP="00B67AF5">
            <w:pPr>
              <w:rPr>
                <w:sz w:val="18"/>
                <w:szCs w:val="18"/>
                <w:lang w:val="en-US"/>
              </w:rPr>
            </w:pPr>
          </w:p>
          <w:p w14:paraId="39A8583E" w14:textId="77777777" w:rsidR="00B67AF5" w:rsidRPr="004A6017" w:rsidRDefault="00B67AF5" w:rsidP="00B67AF5">
            <w:pPr>
              <w:rPr>
                <w:sz w:val="18"/>
                <w:szCs w:val="18"/>
                <w:lang w:val="en-US"/>
              </w:rPr>
            </w:pPr>
            <w:r w:rsidRPr="004A6017">
              <w:rPr>
                <w:sz w:val="18"/>
                <w:szCs w:val="18"/>
                <w:lang w:val="en-US"/>
              </w:rPr>
              <w:t xml:space="preserve"> 2.5. 6 trainings (2-days each) on the import controls for ODS for up to 90 customs officers had been conducted within 2023-2024. Among them 46 females (51%)</w:t>
            </w:r>
          </w:p>
          <w:p w14:paraId="0A4E02E4" w14:textId="77777777" w:rsidR="00B67AF5" w:rsidRPr="004A6017" w:rsidRDefault="00B67AF5" w:rsidP="00B67AF5">
            <w:pPr>
              <w:rPr>
                <w:sz w:val="18"/>
                <w:szCs w:val="18"/>
                <w:lang w:val="en-US"/>
              </w:rPr>
            </w:pPr>
            <w:r w:rsidRPr="004A6017">
              <w:rPr>
                <w:sz w:val="18"/>
                <w:szCs w:val="18"/>
                <w:lang w:val="en-US"/>
              </w:rPr>
              <w:lastRenderedPageBreak/>
              <w:t xml:space="preserve"> Two training session is planned to be conducted in November 2024.</w:t>
            </w:r>
          </w:p>
          <w:p w14:paraId="1CF7D812" w14:textId="77777777" w:rsidR="00B67AF5" w:rsidRDefault="00B67AF5" w:rsidP="00B67AF5">
            <w:pPr>
              <w:rPr>
                <w:sz w:val="18"/>
                <w:szCs w:val="18"/>
                <w:lang w:val="en-US"/>
              </w:rPr>
            </w:pPr>
          </w:p>
          <w:p w14:paraId="6B28EC8C" w14:textId="77777777" w:rsidR="00B67AF5" w:rsidRPr="004A6017" w:rsidRDefault="00B67AF5" w:rsidP="00B67AF5">
            <w:pPr>
              <w:rPr>
                <w:sz w:val="18"/>
                <w:szCs w:val="18"/>
                <w:lang w:val="en-US"/>
              </w:rPr>
            </w:pPr>
            <w:r w:rsidRPr="004A6017">
              <w:rPr>
                <w:sz w:val="18"/>
                <w:szCs w:val="18"/>
                <w:lang w:val="en-US"/>
              </w:rPr>
              <w:t>2.6. 10 training sessions</w:t>
            </w:r>
            <w:r>
              <w:rPr>
                <w:sz w:val="18"/>
                <w:szCs w:val="18"/>
                <w:lang w:val="en-US"/>
              </w:rPr>
              <w:t xml:space="preserve"> for the environmental inspectors</w:t>
            </w:r>
            <w:r w:rsidRPr="004A6017">
              <w:rPr>
                <w:sz w:val="18"/>
                <w:szCs w:val="18"/>
                <w:lang w:val="en-US"/>
              </w:rPr>
              <w:t xml:space="preserve"> had been conducted within September-October</w:t>
            </w:r>
            <w:r>
              <w:rPr>
                <w:sz w:val="18"/>
                <w:szCs w:val="18"/>
                <w:lang w:val="en-US"/>
              </w:rPr>
              <w:t xml:space="preserve"> </w:t>
            </w:r>
            <w:r w:rsidRPr="004A6017">
              <w:rPr>
                <w:sz w:val="18"/>
                <w:szCs w:val="18"/>
                <w:lang w:val="en-US"/>
              </w:rPr>
              <w:t>2023. In Total 136 Environmental Inspectors had been trained. Out of them 49 females (36%).</w:t>
            </w:r>
          </w:p>
          <w:p w14:paraId="6F2C10CD" w14:textId="77777777" w:rsidR="00B67AF5" w:rsidRPr="004A6017" w:rsidRDefault="00B67AF5" w:rsidP="00B67AF5">
            <w:pPr>
              <w:rPr>
                <w:sz w:val="18"/>
                <w:szCs w:val="18"/>
                <w:lang w:val="en-US"/>
              </w:rPr>
            </w:pPr>
          </w:p>
          <w:p w14:paraId="5D78E24C" w14:textId="7F8D3DA0" w:rsidR="00B67AF5" w:rsidRPr="004A6017" w:rsidRDefault="00B67AF5" w:rsidP="00B67AF5">
            <w:pPr>
              <w:rPr>
                <w:sz w:val="18"/>
                <w:szCs w:val="18"/>
                <w:lang w:val="en-US"/>
              </w:rPr>
            </w:pPr>
            <w:r w:rsidRPr="004A6017">
              <w:rPr>
                <w:sz w:val="18"/>
                <w:szCs w:val="18"/>
                <w:lang w:val="en-US"/>
              </w:rPr>
              <w:t xml:space="preserve">2.8. Revision and Update of the curriculum of the accredited vocational education </w:t>
            </w:r>
            <w:proofErr w:type="spellStart"/>
            <w:r w:rsidRPr="004A6017">
              <w:rPr>
                <w:sz w:val="18"/>
                <w:szCs w:val="18"/>
                <w:lang w:val="en-US"/>
              </w:rPr>
              <w:t>programme</w:t>
            </w:r>
            <w:proofErr w:type="spellEnd"/>
            <w:r w:rsidRPr="004A6017">
              <w:rPr>
                <w:sz w:val="18"/>
                <w:szCs w:val="18"/>
                <w:lang w:val="en-US"/>
              </w:rPr>
              <w:t xml:space="preserve"> is in progress and will be on place by the end of October 2024.</w:t>
            </w:r>
          </w:p>
          <w:p w14:paraId="018E6863" w14:textId="77777777" w:rsidR="00B67AF5" w:rsidRPr="004A6017" w:rsidRDefault="00B67AF5" w:rsidP="00B67AF5">
            <w:pPr>
              <w:rPr>
                <w:sz w:val="18"/>
                <w:szCs w:val="18"/>
                <w:lang w:val="en-US"/>
              </w:rPr>
            </w:pPr>
          </w:p>
          <w:p w14:paraId="55D08560" w14:textId="6882153D" w:rsidR="00B67AF5" w:rsidRPr="00662466" w:rsidRDefault="00B67AF5" w:rsidP="00B67AF5">
            <w:pPr>
              <w:jc w:val="left"/>
              <w:rPr>
                <w:sz w:val="18"/>
                <w:szCs w:val="18"/>
                <w:highlight w:val="yellow"/>
              </w:rPr>
            </w:pPr>
            <w:r w:rsidRPr="004A6017">
              <w:rPr>
                <w:sz w:val="18"/>
                <w:szCs w:val="18"/>
                <w:lang w:val="en-US"/>
              </w:rPr>
              <w:t>2.10. Within October-Novembre, 2023 and February 2024, 9 round table meetings had been conducted in close collaboration of N</w:t>
            </w:r>
            <w:r w:rsidR="000152B2">
              <w:rPr>
                <w:sz w:val="18"/>
                <w:szCs w:val="18"/>
                <w:lang w:val="en-US"/>
              </w:rPr>
              <w:t>O</w:t>
            </w:r>
            <w:r w:rsidRPr="004A6017">
              <w:rPr>
                <w:sz w:val="18"/>
                <w:szCs w:val="18"/>
                <w:lang w:val="en-US"/>
              </w:rPr>
              <w:t xml:space="preserve">U and Environmental Supervision department. In total 176 persons participated in meetings. </w:t>
            </w:r>
          </w:p>
        </w:tc>
        <w:tc>
          <w:tcPr>
            <w:tcW w:w="3330" w:type="dxa"/>
            <w:shd w:val="clear" w:color="auto" w:fill="auto"/>
          </w:tcPr>
          <w:p w14:paraId="5BF7AF00" w14:textId="77777777" w:rsidR="00B67AF5" w:rsidRPr="00B67AF5" w:rsidRDefault="00B67AF5" w:rsidP="00B67AF5">
            <w:pPr>
              <w:jc w:val="left"/>
              <w:rPr>
                <w:sz w:val="18"/>
                <w:szCs w:val="18"/>
              </w:rPr>
            </w:pPr>
            <w:r w:rsidRPr="00B67AF5">
              <w:rPr>
                <w:sz w:val="18"/>
                <w:szCs w:val="18"/>
              </w:rPr>
              <w:lastRenderedPageBreak/>
              <w:t>Activity 2.2: Develop a guideline on refrigerant leakage control and safe handling of flammable/toxic refrigerants and mini demonstration project on zero leaks.</w:t>
            </w:r>
          </w:p>
          <w:p w14:paraId="4801748E" w14:textId="413265D9" w:rsidR="00B67AF5" w:rsidRPr="00B67AF5" w:rsidRDefault="00B67AF5" w:rsidP="00B67AF5">
            <w:pPr>
              <w:jc w:val="left"/>
              <w:rPr>
                <w:sz w:val="18"/>
                <w:szCs w:val="18"/>
              </w:rPr>
            </w:pPr>
            <w:r w:rsidRPr="00B67AF5">
              <w:rPr>
                <w:sz w:val="18"/>
                <w:szCs w:val="18"/>
              </w:rPr>
              <w:t>Activity 2.3: Organize 8 training courses (4-days each) for up to 200 technicians on good refrigeration practices and alternative refrigerants</w:t>
            </w:r>
            <w:r w:rsidR="00F936CB">
              <w:rPr>
                <w:sz w:val="18"/>
                <w:szCs w:val="18"/>
              </w:rPr>
              <w:t>.</w:t>
            </w:r>
          </w:p>
          <w:p w14:paraId="7AE15874" w14:textId="77777777" w:rsidR="00B67AF5" w:rsidRPr="00B67AF5" w:rsidRDefault="00B67AF5" w:rsidP="00B67AF5">
            <w:pPr>
              <w:jc w:val="left"/>
              <w:rPr>
                <w:sz w:val="18"/>
                <w:szCs w:val="18"/>
              </w:rPr>
            </w:pPr>
            <w:r w:rsidRPr="00B67AF5">
              <w:rPr>
                <w:sz w:val="18"/>
                <w:szCs w:val="18"/>
              </w:rPr>
              <w:t>Activity 2.5. Organize 8 trainings (2-days each) on the import controls for ODS/non-ODS for up to 250 customs officers. Develop Customs Quick Tool for Screening ODS and print around 1,000 copies.</w:t>
            </w:r>
          </w:p>
          <w:p w14:paraId="320B576C" w14:textId="4AB8F9CD" w:rsidR="00B67AF5" w:rsidRPr="00B67AF5" w:rsidRDefault="00B67AF5" w:rsidP="00B67AF5">
            <w:pPr>
              <w:jc w:val="left"/>
              <w:rPr>
                <w:sz w:val="18"/>
                <w:szCs w:val="18"/>
              </w:rPr>
            </w:pPr>
            <w:r w:rsidRPr="00B67AF5">
              <w:rPr>
                <w:sz w:val="18"/>
                <w:szCs w:val="18"/>
              </w:rPr>
              <w:t>Activity 2.6. Organize 8 two days trainings (2-days each) for up to 150 environmental inspectors on the control of compliance with the ODS regulations</w:t>
            </w:r>
            <w:r w:rsidR="000152B2">
              <w:rPr>
                <w:sz w:val="18"/>
                <w:szCs w:val="18"/>
              </w:rPr>
              <w:t>.</w:t>
            </w:r>
            <w:r w:rsidRPr="00B67AF5">
              <w:rPr>
                <w:sz w:val="18"/>
                <w:szCs w:val="18"/>
              </w:rPr>
              <w:t xml:space="preserve"> </w:t>
            </w:r>
          </w:p>
          <w:p w14:paraId="782598AE" w14:textId="77777777" w:rsidR="00B67AF5" w:rsidRPr="00B67AF5" w:rsidRDefault="00B67AF5" w:rsidP="00B67AF5">
            <w:pPr>
              <w:jc w:val="left"/>
              <w:rPr>
                <w:sz w:val="18"/>
                <w:szCs w:val="18"/>
              </w:rPr>
            </w:pPr>
            <w:r w:rsidRPr="00B67AF5">
              <w:rPr>
                <w:sz w:val="18"/>
                <w:szCs w:val="18"/>
              </w:rPr>
              <w:t>Activity 2.7. Carry out online technical assistance programme for technicians /end-users of RAC during up to 2 years. Raise awareness of SH on feasible business model for R&amp;R infrastructure; Develop and implement communication plan.</w:t>
            </w:r>
          </w:p>
          <w:p w14:paraId="3B99A026" w14:textId="0ACECEF7" w:rsidR="00B67AF5" w:rsidRPr="00B67AF5" w:rsidRDefault="00B67AF5" w:rsidP="00B67AF5">
            <w:pPr>
              <w:jc w:val="left"/>
              <w:rPr>
                <w:sz w:val="18"/>
                <w:szCs w:val="18"/>
              </w:rPr>
            </w:pPr>
            <w:r w:rsidRPr="00B67AF5">
              <w:rPr>
                <w:sz w:val="18"/>
                <w:szCs w:val="18"/>
              </w:rPr>
              <w:lastRenderedPageBreak/>
              <w:t xml:space="preserve">Activity 2.10: Organize 10 roundtable meetings for policy dialogue to facilitate the alignment of policies across respective sectors and reinforce the HCFC phase-out and </w:t>
            </w:r>
            <w:r w:rsidR="004500EB">
              <w:rPr>
                <w:sz w:val="18"/>
                <w:szCs w:val="18"/>
              </w:rPr>
              <w:t>HFC</w:t>
            </w:r>
            <w:r w:rsidRPr="00B67AF5">
              <w:rPr>
                <w:sz w:val="18"/>
                <w:szCs w:val="18"/>
              </w:rPr>
              <w:t xml:space="preserve"> phase-down in the country.</w:t>
            </w:r>
          </w:p>
        </w:tc>
        <w:tc>
          <w:tcPr>
            <w:tcW w:w="1440" w:type="dxa"/>
          </w:tcPr>
          <w:p w14:paraId="0FA19757" w14:textId="3F13DC4D" w:rsidR="00B67AF5" w:rsidRPr="00840792" w:rsidRDefault="0004435B" w:rsidP="00B67AF5">
            <w:pPr>
              <w:jc w:val="right"/>
              <w:rPr>
                <w:sz w:val="18"/>
                <w:szCs w:val="18"/>
              </w:rPr>
            </w:pPr>
            <w:r>
              <w:rPr>
                <w:sz w:val="18"/>
                <w:szCs w:val="18"/>
              </w:rPr>
              <w:lastRenderedPageBreak/>
              <w:t>1,050.00</w:t>
            </w:r>
          </w:p>
        </w:tc>
        <w:tc>
          <w:tcPr>
            <w:tcW w:w="1150" w:type="dxa"/>
          </w:tcPr>
          <w:p w14:paraId="4537ADA9" w14:textId="3E15D56B" w:rsidR="00B67AF5" w:rsidRPr="00662466" w:rsidDel="00BE283E" w:rsidRDefault="00B67AF5" w:rsidP="00B67AF5">
            <w:pPr>
              <w:jc w:val="right"/>
              <w:rPr>
                <w:sz w:val="18"/>
                <w:szCs w:val="18"/>
              </w:rPr>
            </w:pPr>
            <w:r>
              <w:rPr>
                <w:sz w:val="18"/>
                <w:szCs w:val="18"/>
              </w:rPr>
              <w:t>53,850</w:t>
            </w:r>
          </w:p>
        </w:tc>
      </w:tr>
      <w:tr w:rsidR="00B67AF5" w:rsidRPr="00662466" w14:paraId="4FDEF0D9" w14:textId="77777777" w:rsidTr="00A92397">
        <w:tc>
          <w:tcPr>
            <w:tcW w:w="1530" w:type="dxa"/>
            <w:shd w:val="clear" w:color="auto" w:fill="auto"/>
          </w:tcPr>
          <w:p w14:paraId="2A3CD669" w14:textId="4CD48275" w:rsidR="00B67AF5" w:rsidRPr="00662466" w:rsidRDefault="00B67AF5" w:rsidP="00B67AF5">
            <w:pPr>
              <w:jc w:val="left"/>
              <w:rPr>
                <w:sz w:val="18"/>
                <w:szCs w:val="18"/>
                <w:highlight w:val="cyan"/>
              </w:rPr>
            </w:pPr>
            <w:r w:rsidRPr="00C85C85">
              <w:rPr>
                <w:color w:val="000000"/>
                <w:sz w:val="18"/>
                <w:szCs w:val="18"/>
                <w:lang w:val="en-US" w:eastAsia="ja-JP"/>
              </w:rPr>
              <w:t>Component 3: Demonstration projects</w:t>
            </w:r>
          </w:p>
        </w:tc>
        <w:tc>
          <w:tcPr>
            <w:tcW w:w="2352" w:type="dxa"/>
            <w:shd w:val="clear" w:color="auto" w:fill="auto"/>
          </w:tcPr>
          <w:p w14:paraId="77D4A581" w14:textId="6175B793" w:rsidR="00B67AF5" w:rsidRPr="004A6017" w:rsidRDefault="00B67AF5" w:rsidP="00B67AF5">
            <w:pPr>
              <w:jc w:val="left"/>
              <w:rPr>
                <w:sz w:val="18"/>
                <w:szCs w:val="18"/>
                <w:lang w:val="en-US"/>
              </w:rPr>
            </w:pPr>
            <w:r w:rsidRPr="004A6017">
              <w:rPr>
                <w:sz w:val="18"/>
                <w:szCs w:val="18"/>
                <w:lang w:val="en-US"/>
              </w:rPr>
              <w:t>3.1. Analysis of obstacles of technology transfer/inflow including the recommendations is in progress and will be ready by the end of October 2024.</w:t>
            </w:r>
          </w:p>
          <w:p w14:paraId="33DE3702" w14:textId="77777777" w:rsidR="00B67AF5" w:rsidRPr="004A6017" w:rsidRDefault="00B67AF5" w:rsidP="00B67AF5">
            <w:pPr>
              <w:jc w:val="left"/>
              <w:rPr>
                <w:sz w:val="18"/>
                <w:szCs w:val="18"/>
                <w:lang w:val="en-US"/>
              </w:rPr>
            </w:pPr>
          </w:p>
          <w:p w14:paraId="6EF105FD" w14:textId="5BBA3CAE" w:rsidR="00B67AF5" w:rsidRPr="004A6017" w:rsidRDefault="00B67AF5" w:rsidP="00B67AF5">
            <w:pPr>
              <w:jc w:val="left"/>
              <w:rPr>
                <w:sz w:val="18"/>
                <w:szCs w:val="18"/>
                <w:lang w:val="en-US"/>
              </w:rPr>
            </w:pPr>
            <w:r w:rsidRPr="004A6017">
              <w:rPr>
                <w:sz w:val="18"/>
                <w:szCs w:val="18"/>
                <w:lang w:val="en-US"/>
              </w:rPr>
              <w:t xml:space="preserve">3.2. Developing detailed scope for the technology demonstration </w:t>
            </w:r>
            <w:proofErr w:type="spellStart"/>
            <w:r w:rsidRPr="004A6017">
              <w:rPr>
                <w:sz w:val="18"/>
                <w:szCs w:val="18"/>
                <w:lang w:val="en-US"/>
              </w:rPr>
              <w:t>programme</w:t>
            </w:r>
            <w:proofErr w:type="spellEnd"/>
            <w:r w:rsidRPr="004A6017">
              <w:rPr>
                <w:sz w:val="18"/>
                <w:szCs w:val="18"/>
                <w:lang w:val="en-US"/>
              </w:rPr>
              <w:t xml:space="preserve"> is in progress and </w:t>
            </w:r>
            <w:r w:rsidR="006D4BF3" w:rsidRPr="004A6017">
              <w:rPr>
                <w:sz w:val="18"/>
                <w:szCs w:val="18"/>
                <w:lang w:val="en-US"/>
              </w:rPr>
              <w:t>will</w:t>
            </w:r>
            <w:r w:rsidRPr="004A6017">
              <w:rPr>
                <w:sz w:val="18"/>
                <w:szCs w:val="18"/>
                <w:lang w:val="en-US"/>
              </w:rPr>
              <w:t xml:space="preserve"> be ready by the end of Novembre, 2024.</w:t>
            </w:r>
          </w:p>
          <w:p w14:paraId="0E5C2226" w14:textId="77777777" w:rsidR="00B67AF5" w:rsidRPr="00B67AF5" w:rsidRDefault="00B67AF5" w:rsidP="00B67AF5">
            <w:pPr>
              <w:jc w:val="left"/>
              <w:rPr>
                <w:sz w:val="18"/>
                <w:szCs w:val="18"/>
                <w:lang w:val="en-US"/>
              </w:rPr>
            </w:pPr>
          </w:p>
        </w:tc>
        <w:tc>
          <w:tcPr>
            <w:tcW w:w="3330" w:type="dxa"/>
            <w:shd w:val="clear" w:color="auto" w:fill="auto"/>
          </w:tcPr>
          <w:p w14:paraId="52077B8F" w14:textId="77777777" w:rsidR="00B67AF5" w:rsidRPr="00B67AF5" w:rsidRDefault="00B67AF5" w:rsidP="00B67AF5">
            <w:pPr>
              <w:jc w:val="left"/>
              <w:rPr>
                <w:sz w:val="18"/>
                <w:szCs w:val="18"/>
              </w:rPr>
            </w:pPr>
            <w:r w:rsidRPr="00B67AF5">
              <w:rPr>
                <w:sz w:val="18"/>
                <w:szCs w:val="18"/>
              </w:rPr>
              <w:t>Activity 3.3. Design and implement demo projects with focus on the natural refrigerants, with up to 50% co-financing</w:t>
            </w:r>
          </w:p>
          <w:p w14:paraId="728CA505" w14:textId="041C076D" w:rsidR="00B67AF5" w:rsidRPr="00B67AF5" w:rsidRDefault="00B67AF5" w:rsidP="00B67AF5">
            <w:pPr>
              <w:jc w:val="left"/>
              <w:rPr>
                <w:sz w:val="18"/>
                <w:szCs w:val="18"/>
              </w:rPr>
            </w:pPr>
            <w:r w:rsidRPr="00B67AF5">
              <w:rPr>
                <w:sz w:val="18"/>
                <w:szCs w:val="18"/>
              </w:rPr>
              <w:t>Activity 3.4: Organize 2 workshops to present the outcomes of demonstration projects and applied technology</w:t>
            </w:r>
          </w:p>
        </w:tc>
        <w:tc>
          <w:tcPr>
            <w:tcW w:w="1440" w:type="dxa"/>
          </w:tcPr>
          <w:p w14:paraId="18A39C57" w14:textId="5FC4C0DC" w:rsidR="00B67AF5" w:rsidRPr="00840792" w:rsidRDefault="0004435B" w:rsidP="00B67AF5">
            <w:pPr>
              <w:jc w:val="right"/>
              <w:rPr>
                <w:sz w:val="18"/>
                <w:szCs w:val="18"/>
              </w:rPr>
            </w:pPr>
            <w:r>
              <w:rPr>
                <w:sz w:val="18"/>
                <w:szCs w:val="18"/>
              </w:rPr>
              <w:t>11,760.00</w:t>
            </w:r>
          </w:p>
        </w:tc>
        <w:tc>
          <w:tcPr>
            <w:tcW w:w="1150" w:type="dxa"/>
          </w:tcPr>
          <w:p w14:paraId="57B18242" w14:textId="3602F2A6" w:rsidR="00B67AF5" w:rsidRPr="00662466" w:rsidDel="00BE283E" w:rsidRDefault="00B67AF5" w:rsidP="00B67AF5">
            <w:pPr>
              <w:jc w:val="right"/>
              <w:rPr>
                <w:sz w:val="18"/>
                <w:szCs w:val="18"/>
                <w:highlight w:val="cyan"/>
              </w:rPr>
            </w:pPr>
            <w:r w:rsidRPr="00B67AF5">
              <w:rPr>
                <w:sz w:val="18"/>
                <w:szCs w:val="18"/>
              </w:rPr>
              <w:t>86,900</w:t>
            </w:r>
          </w:p>
        </w:tc>
      </w:tr>
      <w:bookmarkEnd w:id="25"/>
      <w:tr w:rsidR="002659CA" w:rsidRPr="00662466" w14:paraId="6DDF1C12" w14:textId="77777777" w:rsidTr="00A92397">
        <w:tc>
          <w:tcPr>
            <w:tcW w:w="1530" w:type="dxa"/>
            <w:shd w:val="clear" w:color="auto" w:fill="auto"/>
          </w:tcPr>
          <w:p w14:paraId="3B65CAEE" w14:textId="77777777" w:rsidR="002659CA" w:rsidRDefault="002659CA" w:rsidP="002659CA">
            <w:pPr>
              <w:jc w:val="left"/>
              <w:rPr>
                <w:b/>
                <w:bCs/>
                <w:sz w:val="18"/>
                <w:szCs w:val="18"/>
                <w:lang w:val="en-US"/>
              </w:rPr>
            </w:pPr>
          </w:p>
          <w:p w14:paraId="36CA8AA0" w14:textId="44D7C89E" w:rsidR="002659CA" w:rsidRPr="00B67AF5" w:rsidRDefault="00915BBE" w:rsidP="002659CA">
            <w:pPr>
              <w:jc w:val="left"/>
              <w:rPr>
                <w:sz w:val="18"/>
                <w:szCs w:val="18"/>
                <w:highlight w:val="cyan"/>
                <w:lang w:val="en-US"/>
              </w:rPr>
            </w:pPr>
            <w:r w:rsidRPr="00915BBE">
              <w:rPr>
                <w:color w:val="000000"/>
                <w:sz w:val="18"/>
                <w:szCs w:val="18"/>
                <w:lang w:val="en-US" w:eastAsia="ja-JP"/>
              </w:rPr>
              <w:t>Component 4: Technical assistance to support good servicing practices in the refrigeration sector</w:t>
            </w:r>
            <w:r w:rsidRPr="00B67AF5">
              <w:rPr>
                <w:sz w:val="18"/>
                <w:szCs w:val="18"/>
                <w:highlight w:val="cyan"/>
                <w:lang w:val="en-US"/>
              </w:rPr>
              <w:t xml:space="preserve"> </w:t>
            </w:r>
          </w:p>
        </w:tc>
        <w:tc>
          <w:tcPr>
            <w:tcW w:w="2352" w:type="dxa"/>
            <w:shd w:val="clear" w:color="auto" w:fill="auto"/>
          </w:tcPr>
          <w:p w14:paraId="5803A512" w14:textId="7C106A40" w:rsidR="002659CA" w:rsidRDefault="002659CA" w:rsidP="002659CA">
            <w:pPr>
              <w:jc w:val="left"/>
              <w:rPr>
                <w:rFonts w:ascii="Sylfaen" w:hAnsi="Sylfaen"/>
                <w:sz w:val="18"/>
                <w:szCs w:val="18"/>
                <w:lang w:val="en-US"/>
              </w:rPr>
            </w:pPr>
            <w:r>
              <w:rPr>
                <w:rFonts w:ascii="Sylfaen" w:hAnsi="Sylfaen"/>
                <w:sz w:val="18"/>
                <w:szCs w:val="18"/>
                <w:lang w:val="en-US"/>
              </w:rPr>
              <w:t xml:space="preserve">4.1. Due to the global problem with the refrigerant identifiers’ spare parts on the Global market, only four identifiers were purchased for the Customs department. </w:t>
            </w:r>
          </w:p>
          <w:p w14:paraId="1EE098A8" w14:textId="1CC91004" w:rsidR="002659CA" w:rsidRDefault="002659CA" w:rsidP="002659CA">
            <w:pPr>
              <w:jc w:val="left"/>
              <w:rPr>
                <w:rFonts w:ascii="Sylfaen" w:hAnsi="Sylfaen"/>
                <w:sz w:val="18"/>
                <w:szCs w:val="18"/>
                <w:lang w:val="en-US"/>
              </w:rPr>
            </w:pPr>
            <w:r>
              <w:rPr>
                <w:rFonts w:ascii="Sylfaen" w:hAnsi="Sylfaen"/>
                <w:sz w:val="18"/>
                <w:szCs w:val="18"/>
                <w:lang w:val="en-US"/>
              </w:rPr>
              <w:t>- Purchasing of the leak detectors is in progress and will be purchased before the end of November 2024.</w:t>
            </w:r>
          </w:p>
          <w:p w14:paraId="71AD37D2" w14:textId="294D14D6" w:rsidR="002659CA" w:rsidRPr="00675735" w:rsidRDefault="002659CA" w:rsidP="002659CA">
            <w:pPr>
              <w:jc w:val="left"/>
              <w:rPr>
                <w:sz w:val="18"/>
                <w:szCs w:val="18"/>
                <w:lang w:val="en-US"/>
              </w:rPr>
            </w:pPr>
            <w:r>
              <w:rPr>
                <w:rFonts w:ascii="Sylfaen" w:hAnsi="Sylfaen"/>
                <w:sz w:val="18"/>
                <w:szCs w:val="18"/>
                <w:lang w:val="en-US"/>
              </w:rPr>
              <w:t>-</w:t>
            </w:r>
            <w:r w:rsidRPr="00886773">
              <w:rPr>
                <w:sz w:val="18"/>
                <w:szCs w:val="18"/>
                <w:lang w:val="en-US"/>
              </w:rPr>
              <w:t xml:space="preserve"> </w:t>
            </w:r>
            <w:r>
              <w:rPr>
                <w:sz w:val="18"/>
                <w:szCs w:val="18"/>
                <w:lang w:val="en-US"/>
              </w:rPr>
              <w:t xml:space="preserve">Following to the Kigali amendment, adoption of the new </w:t>
            </w:r>
            <w:r w:rsidRPr="00886773">
              <w:rPr>
                <w:sz w:val="18"/>
                <w:szCs w:val="18"/>
                <w:lang w:val="en-US"/>
              </w:rPr>
              <w:t>legislative changes</w:t>
            </w:r>
            <w:r>
              <w:rPr>
                <w:sz w:val="18"/>
                <w:szCs w:val="18"/>
                <w:lang w:val="en-US"/>
              </w:rPr>
              <w:t xml:space="preserve"> </w:t>
            </w:r>
            <w:r w:rsidRPr="004A6017">
              <w:rPr>
                <w:sz w:val="18"/>
                <w:szCs w:val="18"/>
                <w:lang w:val="en-US"/>
              </w:rPr>
              <w:t>on 16 June 2023</w:t>
            </w:r>
            <w:r w:rsidRPr="0062335F">
              <w:rPr>
                <w:sz w:val="18"/>
                <w:szCs w:val="18"/>
                <w:lang w:val="en-US"/>
              </w:rPr>
              <w:t>, set</w:t>
            </w:r>
            <w:r>
              <w:rPr>
                <w:sz w:val="18"/>
                <w:szCs w:val="18"/>
                <w:lang w:val="en-US"/>
              </w:rPr>
              <w:t xml:space="preserve"> the new obligations for the Environmental Inspectors. To fulfill these obligations, </w:t>
            </w:r>
            <w:r>
              <w:rPr>
                <w:sz w:val="18"/>
                <w:szCs w:val="18"/>
                <w:lang w:val="en-US"/>
              </w:rPr>
              <w:lastRenderedPageBreak/>
              <w:t>with PEB decision 8 armored tablets had been purchased, through the international procurement procedures.</w:t>
            </w:r>
          </w:p>
        </w:tc>
        <w:tc>
          <w:tcPr>
            <w:tcW w:w="3330" w:type="dxa"/>
            <w:shd w:val="clear" w:color="auto" w:fill="auto"/>
          </w:tcPr>
          <w:p w14:paraId="7E2E27C1" w14:textId="77777777" w:rsidR="002659CA" w:rsidRPr="00B67AF5" w:rsidRDefault="002659CA" w:rsidP="002659CA">
            <w:pPr>
              <w:jc w:val="left"/>
              <w:rPr>
                <w:sz w:val="18"/>
                <w:szCs w:val="18"/>
                <w:lang w:val="en-US"/>
              </w:rPr>
            </w:pPr>
            <w:r w:rsidRPr="00B67AF5">
              <w:rPr>
                <w:sz w:val="18"/>
                <w:szCs w:val="18"/>
                <w:lang w:val="en-US"/>
              </w:rPr>
              <w:lastRenderedPageBreak/>
              <w:t>Activity 4.2a,b. Supply 3 Services centers and individual technicians with equipment and tools in regional cities/towns.</w:t>
            </w:r>
          </w:p>
          <w:p w14:paraId="4BB8033C" w14:textId="77777777" w:rsidR="002659CA" w:rsidRPr="00B67AF5" w:rsidRDefault="002659CA" w:rsidP="002659CA">
            <w:pPr>
              <w:jc w:val="left"/>
              <w:rPr>
                <w:sz w:val="18"/>
                <w:szCs w:val="18"/>
                <w:lang w:val="en-US"/>
              </w:rPr>
            </w:pPr>
            <w:r w:rsidRPr="00B67AF5">
              <w:rPr>
                <w:sz w:val="18"/>
                <w:szCs w:val="18"/>
                <w:lang w:val="en-US"/>
              </w:rPr>
              <w:t>Activity 4.3. Conduct a study to assess the infrastructure options for long-term on-site storage of used ODS. The study will also include a detailed cost assessment for establishment and maintenance of such storage facility.</w:t>
            </w:r>
          </w:p>
          <w:p w14:paraId="40AC8F58" w14:textId="6878192E" w:rsidR="002659CA" w:rsidRPr="00B67AF5" w:rsidRDefault="002659CA" w:rsidP="002659CA">
            <w:pPr>
              <w:jc w:val="left"/>
              <w:rPr>
                <w:sz w:val="18"/>
                <w:szCs w:val="18"/>
                <w:lang w:val="en-US"/>
              </w:rPr>
            </w:pPr>
            <w:r w:rsidRPr="00B67AF5">
              <w:rPr>
                <w:sz w:val="18"/>
                <w:szCs w:val="18"/>
                <w:lang w:val="en-US"/>
              </w:rPr>
              <w:t>Activity 4.5.  Stakeholder coordination, advisory, and oversight of components</w:t>
            </w:r>
          </w:p>
        </w:tc>
        <w:tc>
          <w:tcPr>
            <w:tcW w:w="1440" w:type="dxa"/>
          </w:tcPr>
          <w:p w14:paraId="3703FD09" w14:textId="0E1DF1F2" w:rsidR="002659CA" w:rsidRPr="00840792" w:rsidDel="00BE283E" w:rsidRDefault="00AB14ED" w:rsidP="002659CA">
            <w:pPr>
              <w:jc w:val="right"/>
              <w:rPr>
                <w:sz w:val="18"/>
                <w:szCs w:val="18"/>
              </w:rPr>
            </w:pPr>
            <w:r>
              <w:rPr>
                <w:sz w:val="18"/>
                <w:szCs w:val="18"/>
              </w:rPr>
              <w:t>10,150.00</w:t>
            </w:r>
          </w:p>
        </w:tc>
        <w:tc>
          <w:tcPr>
            <w:tcW w:w="1150" w:type="dxa"/>
          </w:tcPr>
          <w:p w14:paraId="2F0F027C" w14:textId="74A97D8C" w:rsidR="002659CA" w:rsidRPr="00662466" w:rsidRDefault="002659CA" w:rsidP="002659CA">
            <w:pPr>
              <w:jc w:val="right"/>
              <w:rPr>
                <w:sz w:val="18"/>
                <w:szCs w:val="18"/>
              </w:rPr>
            </w:pPr>
            <w:r>
              <w:rPr>
                <w:sz w:val="18"/>
                <w:szCs w:val="18"/>
              </w:rPr>
              <w:t>72,100</w:t>
            </w:r>
          </w:p>
        </w:tc>
      </w:tr>
      <w:tr w:rsidR="005D496F" w:rsidRPr="00662466" w14:paraId="1F538C7B" w14:textId="77777777" w:rsidTr="002C64AA">
        <w:tc>
          <w:tcPr>
            <w:tcW w:w="1530" w:type="dxa"/>
            <w:shd w:val="clear" w:color="auto" w:fill="auto"/>
          </w:tcPr>
          <w:p w14:paraId="34BE7984" w14:textId="77777777" w:rsidR="005D496F" w:rsidRDefault="005D496F" w:rsidP="005D496F">
            <w:pPr>
              <w:jc w:val="left"/>
              <w:rPr>
                <w:b/>
                <w:bCs/>
                <w:sz w:val="18"/>
                <w:szCs w:val="18"/>
                <w:lang w:val="en-US"/>
              </w:rPr>
            </w:pPr>
          </w:p>
          <w:p w14:paraId="0A489213" w14:textId="77777777" w:rsidR="005D496F" w:rsidRPr="00915BBE" w:rsidRDefault="005D496F" w:rsidP="005D496F">
            <w:pPr>
              <w:jc w:val="left"/>
              <w:rPr>
                <w:color w:val="000000"/>
                <w:sz w:val="18"/>
                <w:szCs w:val="18"/>
                <w:lang w:val="en-US" w:eastAsia="ja-JP"/>
              </w:rPr>
            </w:pPr>
            <w:r w:rsidRPr="00915BBE">
              <w:rPr>
                <w:color w:val="000000"/>
                <w:sz w:val="18"/>
                <w:szCs w:val="18"/>
                <w:lang w:val="en-US" w:eastAsia="ja-JP"/>
              </w:rPr>
              <w:t>Component 5: Project implementation, monitoring and evaluation</w:t>
            </w:r>
          </w:p>
          <w:p w14:paraId="2344D441" w14:textId="2D6C7482" w:rsidR="005D496F" w:rsidRPr="00662466" w:rsidRDefault="005D496F" w:rsidP="005D496F">
            <w:pPr>
              <w:jc w:val="left"/>
              <w:rPr>
                <w:sz w:val="18"/>
                <w:szCs w:val="18"/>
                <w:highlight w:val="cyan"/>
              </w:rPr>
            </w:pPr>
          </w:p>
        </w:tc>
        <w:tc>
          <w:tcPr>
            <w:tcW w:w="5682" w:type="dxa"/>
            <w:gridSpan w:val="2"/>
            <w:shd w:val="clear" w:color="auto" w:fill="auto"/>
            <w:vAlign w:val="center"/>
          </w:tcPr>
          <w:p w14:paraId="2C8852B8" w14:textId="0D0882BB" w:rsidR="005D496F" w:rsidRPr="00662466" w:rsidRDefault="005D496F" w:rsidP="005D496F">
            <w:pPr>
              <w:ind w:left="360"/>
              <w:jc w:val="left"/>
              <w:rPr>
                <w:sz w:val="18"/>
                <w:szCs w:val="18"/>
              </w:rPr>
            </w:pPr>
            <w:r w:rsidRPr="00CB4DAF">
              <w:rPr>
                <w:rFonts w:asciiTheme="minorHAnsi" w:hAnsiTheme="minorHAnsi" w:cstheme="minorHAnsi"/>
                <w:sz w:val="18"/>
                <w:szCs w:val="18"/>
                <w:lang w:val="en-US"/>
              </w:rPr>
              <w:t>Project management related costs</w:t>
            </w:r>
          </w:p>
        </w:tc>
        <w:tc>
          <w:tcPr>
            <w:tcW w:w="1440" w:type="dxa"/>
          </w:tcPr>
          <w:p w14:paraId="04DA14F8" w14:textId="5E5DA0A9" w:rsidR="005D496F" w:rsidRPr="00840792" w:rsidDel="00BE283E" w:rsidRDefault="00840792" w:rsidP="005D496F">
            <w:pPr>
              <w:jc w:val="right"/>
              <w:rPr>
                <w:sz w:val="18"/>
                <w:szCs w:val="18"/>
              </w:rPr>
            </w:pPr>
            <w:r w:rsidRPr="00840792">
              <w:rPr>
                <w:sz w:val="18"/>
                <w:szCs w:val="18"/>
              </w:rPr>
              <w:t>0</w:t>
            </w:r>
          </w:p>
        </w:tc>
        <w:tc>
          <w:tcPr>
            <w:tcW w:w="1150" w:type="dxa"/>
          </w:tcPr>
          <w:p w14:paraId="3D632371" w14:textId="0734D556" w:rsidR="005D496F" w:rsidRPr="00A873A3" w:rsidRDefault="005D496F" w:rsidP="005D496F">
            <w:pPr>
              <w:jc w:val="right"/>
              <w:rPr>
                <w:sz w:val="18"/>
                <w:szCs w:val="18"/>
              </w:rPr>
            </w:pPr>
            <w:r w:rsidRPr="00A873A3">
              <w:rPr>
                <w:sz w:val="18"/>
                <w:szCs w:val="18"/>
              </w:rPr>
              <w:t>19,112</w:t>
            </w:r>
          </w:p>
        </w:tc>
      </w:tr>
      <w:tr w:rsidR="00A873A3" w:rsidRPr="00662466" w14:paraId="3E20F234" w14:textId="77777777" w:rsidTr="00805ACA">
        <w:tc>
          <w:tcPr>
            <w:tcW w:w="1530" w:type="dxa"/>
            <w:shd w:val="clear" w:color="auto" w:fill="DBE5F1" w:themeFill="accent1" w:themeFillTint="33"/>
          </w:tcPr>
          <w:p w14:paraId="4D888034" w14:textId="619CB08C" w:rsidR="00A873A3" w:rsidRPr="00A873A3" w:rsidRDefault="00A873A3" w:rsidP="005D496F">
            <w:pPr>
              <w:jc w:val="left"/>
              <w:rPr>
                <w:rFonts w:ascii="Sylfaen" w:hAnsi="Sylfaen"/>
                <w:b/>
                <w:bCs/>
                <w:sz w:val="18"/>
                <w:szCs w:val="18"/>
                <w:lang w:val="en-US"/>
              </w:rPr>
            </w:pPr>
            <w:r>
              <w:rPr>
                <w:rFonts w:ascii="Sylfaen" w:hAnsi="Sylfaen"/>
                <w:b/>
                <w:bCs/>
                <w:sz w:val="18"/>
                <w:szCs w:val="18"/>
                <w:lang w:val="en-US"/>
              </w:rPr>
              <w:t xml:space="preserve">Total </w:t>
            </w:r>
          </w:p>
        </w:tc>
        <w:tc>
          <w:tcPr>
            <w:tcW w:w="5682" w:type="dxa"/>
            <w:gridSpan w:val="2"/>
            <w:shd w:val="clear" w:color="auto" w:fill="DBE5F1" w:themeFill="accent1" w:themeFillTint="33"/>
            <w:vAlign w:val="center"/>
          </w:tcPr>
          <w:p w14:paraId="08AB390A" w14:textId="77777777" w:rsidR="00A873A3" w:rsidRPr="00CB4DAF" w:rsidRDefault="00A873A3" w:rsidP="005D496F">
            <w:pPr>
              <w:ind w:left="360"/>
              <w:jc w:val="left"/>
              <w:rPr>
                <w:rFonts w:asciiTheme="minorHAnsi" w:hAnsiTheme="minorHAnsi" w:cstheme="minorHAnsi"/>
                <w:sz w:val="18"/>
                <w:szCs w:val="18"/>
                <w:lang w:val="en-US"/>
              </w:rPr>
            </w:pPr>
          </w:p>
        </w:tc>
        <w:tc>
          <w:tcPr>
            <w:tcW w:w="1440" w:type="dxa"/>
            <w:shd w:val="clear" w:color="auto" w:fill="DBE5F1" w:themeFill="accent1" w:themeFillTint="33"/>
          </w:tcPr>
          <w:p w14:paraId="2BB7E88F" w14:textId="0D61B5E6" w:rsidR="00A873A3" w:rsidRPr="008E6C50" w:rsidDel="00BE283E" w:rsidRDefault="00AB14ED" w:rsidP="005D496F">
            <w:pPr>
              <w:jc w:val="right"/>
              <w:rPr>
                <w:sz w:val="18"/>
                <w:szCs w:val="18"/>
              </w:rPr>
            </w:pPr>
            <w:r w:rsidRPr="008E6C50">
              <w:rPr>
                <w:sz w:val="18"/>
                <w:szCs w:val="18"/>
              </w:rPr>
              <w:t>32,669.17</w:t>
            </w:r>
          </w:p>
        </w:tc>
        <w:tc>
          <w:tcPr>
            <w:tcW w:w="1150" w:type="dxa"/>
            <w:shd w:val="clear" w:color="auto" w:fill="DBE5F1" w:themeFill="accent1" w:themeFillTint="33"/>
          </w:tcPr>
          <w:p w14:paraId="49618B11" w14:textId="55312C72" w:rsidR="00A873A3" w:rsidRPr="00A873A3" w:rsidRDefault="00A873A3" w:rsidP="005D496F">
            <w:pPr>
              <w:jc w:val="right"/>
              <w:rPr>
                <w:sz w:val="18"/>
                <w:szCs w:val="18"/>
              </w:rPr>
            </w:pPr>
            <w:r>
              <w:rPr>
                <w:sz w:val="18"/>
                <w:szCs w:val="18"/>
              </w:rPr>
              <w:t>235,962</w:t>
            </w:r>
          </w:p>
        </w:tc>
      </w:tr>
      <w:bookmarkEnd w:id="24"/>
    </w:tbl>
    <w:p w14:paraId="55A0C277" w14:textId="77777777" w:rsidR="000E78AF" w:rsidRDefault="000E78AF" w:rsidP="00664CC7">
      <w:pPr>
        <w:rPr>
          <w:rFonts w:eastAsia="SimSun"/>
          <w:lang w:val="en-CA" w:eastAsia="zh-CN"/>
        </w:rPr>
      </w:pPr>
    </w:p>
    <w:p w14:paraId="5B5A7C12" w14:textId="77777777" w:rsidR="009A0AC3" w:rsidRDefault="009A0AC3" w:rsidP="00664CC7">
      <w:pPr>
        <w:rPr>
          <w:rFonts w:eastAsia="SimSun"/>
          <w:lang w:val="en-CA" w:eastAsia="zh-CN"/>
        </w:rPr>
      </w:pPr>
    </w:p>
    <w:p w14:paraId="675C0C46" w14:textId="77777777" w:rsidR="009A0AC3" w:rsidRDefault="009A0AC3" w:rsidP="00664CC7">
      <w:pPr>
        <w:rPr>
          <w:rFonts w:eastAsia="SimSun"/>
          <w:lang w:val="en-CA" w:eastAsia="zh-CN"/>
        </w:rPr>
      </w:pPr>
    </w:p>
    <w:p w14:paraId="2FB7A02D" w14:textId="77777777" w:rsidR="009A0AC3" w:rsidRDefault="009A0AC3" w:rsidP="00664CC7">
      <w:pPr>
        <w:rPr>
          <w:rFonts w:eastAsia="SimSun"/>
          <w:lang w:val="en-CA" w:eastAsia="zh-CN"/>
        </w:rPr>
      </w:pPr>
    </w:p>
    <w:p w14:paraId="126A2A8C" w14:textId="77777777" w:rsidR="009A0AC3" w:rsidRDefault="009A0AC3" w:rsidP="00664CC7">
      <w:pPr>
        <w:rPr>
          <w:rFonts w:eastAsia="SimSun"/>
          <w:lang w:val="en-CA" w:eastAsia="zh-CN"/>
        </w:rPr>
      </w:pPr>
    </w:p>
    <w:p w14:paraId="290A68AD" w14:textId="77777777" w:rsidR="009A0AC3" w:rsidRDefault="009A0AC3" w:rsidP="00664CC7">
      <w:pPr>
        <w:rPr>
          <w:rFonts w:eastAsia="SimSun"/>
          <w:lang w:val="en-CA" w:eastAsia="zh-CN"/>
        </w:rPr>
      </w:pPr>
    </w:p>
    <w:p w14:paraId="5D97FB12" w14:textId="77777777" w:rsidR="009A0AC3" w:rsidRDefault="009A0AC3" w:rsidP="00664CC7">
      <w:pPr>
        <w:rPr>
          <w:rFonts w:eastAsia="SimSun"/>
          <w:lang w:val="en-CA" w:eastAsia="zh-CN"/>
        </w:rPr>
      </w:pPr>
    </w:p>
    <w:p w14:paraId="359C7FD2" w14:textId="77777777" w:rsidR="009A0AC3" w:rsidRDefault="009A0AC3" w:rsidP="00664CC7">
      <w:pPr>
        <w:rPr>
          <w:rFonts w:eastAsia="SimSun"/>
          <w:lang w:val="en-CA" w:eastAsia="zh-CN"/>
        </w:rPr>
      </w:pPr>
    </w:p>
    <w:p w14:paraId="0C8C5092" w14:textId="77777777" w:rsidR="009A0AC3" w:rsidRDefault="009A0AC3" w:rsidP="00664CC7">
      <w:pPr>
        <w:rPr>
          <w:rFonts w:eastAsia="SimSun"/>
          <w:lang w:val="en-CA" w:eastAsia="zh-CN"/>
        </w:rPr>
      </w:pPr>
    </w:p>
    <w:p w14:paraId="6AE91C2B" w14:textId="77777777" w:rsidR="009A0AC3" w:rsidRDefault="009A0AC3" w:rsidP="00664CC7">
      <w:pPr>
        <w:rPr>
          <w:rFonts w:eastAsia="SimSun"/>
          <w:lang w:val="en-CA" w:eastAsia="zh-CN"/>
        </w:rPr>
      </w:pPr>
    </w:p>
    <w:p w14:paraId="29CDB289" w14:textId="77777777" w:rsidR="009A0AC3" w:rsidRDefault="009A0AC3" w:rsidP="00664CC7">
      <w:pPr>
        <w:rPr>
          <w:rFonts w:eastAsia="SimSun"/>
          <w:lang w:val="en-CA" w:eastAsia="zh-CN"/>
        </w:rPr>
      </w:pPr>
    </w:p>
    <w:p w14:paraId="02FC9D52" w14:textId="77777777" w:rsidR="009A0AC3" w:rsidRDefault="009A0AC3" w:rsidP="00664CC7">
      <w:pPr>
        <w:rPr>
          <w:rFonts w:eastAsia="SimSun"/>
          <w:lang w:val="en-CA" w:eastAsia="zh-CN"/>
        </w:rPr>
      </w:pPr>
    </w:p>
    <w:p w14:paraId="73F8E746" w14:textId="77777777" w:rsidR="009A0AC3" w:rsidRDefault="009A0AC3" w:rsidP="00664CC7">
      <w:pPr>
        <w:rPr>
          <w:rFonts w:eastAsia="SimSun"/>
          <w:lang w:val="en-CA" w:eastAsia="zh-CN"/>
        </w:rPr>
      </w:pPr>
    </w:p>
    <w:p w14:paraId="50575592" w14:textId="77777777" w:rsidR="009A0AC3" w:rsidRDefault="009A0AC3" w:rsidP="00664CC7">
      <w:pPr>
        <w:rPr>
          <w:rFonts w:eastAsia="SimSun"/>
          <w:lang w:val="en-CA" w:eastAsia="zh-CN"/>
        </w:rPr>
      </w:pPr>
    </w:p>
    <w:p w14:paraId="7E146181" w14:textId="08B3165D" w:rsidR="009A0AC3" w:rsidRDefault="009A0AC3" w:rsidP="009A0AC3">
      <w:pPr>
        <w:jc w:val="center"/>
        <w:rPr>
          <w:b/>
          <w:lang w:val="en-CA"/>
        </w:rPr>
      </w:pPr>
      <w:r w:rsidRPr="00664CC7">
        <w:rPr>
          <w:b/>
          <w:lang w:val="en-CA"/>
        </w:rPr>
        <w:t>Annex I</w:t>
      </w:r>
    </w:p>
    <w:p w14:paraId="48C7A374" w14:textId="77777777" w:rsidR="009A0AC3" w:rsidRPr="00664CC7" w:rsidRDefault="009A0AC3" w:rsidP="008E6C50">
      <w:pPr>
        <w:jc w:val="center"/>
        <w:rPr>
          <w:rFonts w:eastAsia="SimSun"/>
          <w:lang w:val="en-CA"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68"/>
      </w:tblGrid>
      <w:tr w:rsidR="000E78AF" w:rsidRPr="00664CC7" w14:paraId="2E562A0B" w14:textId="77777777" w:rsidTr="003F4572">
        <w:tc>
          <w:tcPr>
            <w:tcW w:w="9468" w:type="dxa"/>
            <w:shd w:val="pct15" w:color="auto" w:fill="auto"/>
          </w:tcPr>
          <w:p w14:paraId="13513B21" w14:textId="27CC3C12" w:rsidR="000E78AF" w:rsidRPr="00664CC7" w:rsidRDefault="000E78AF" w:rsidP="00664CC7">
            <w:pPr>
              <w:keepNext/>
              <w:tabs>
                <w:tab w:val="right" w:pos="9183"/>
              </w:tabs>
              <w:autoSpaceDE w:val="0"/>
              <w:autoSpaceDN w:val="0"/>
              <w:adjustRightInd w:val="0"/>
              <w:rPr>
                <w:rFonts w:eastAsia="SimSun"/>
                <w:b/>
                <w:color w:val="000000"/>
                <w:lang w:val="en-CA" w:eastAsia="zh-CN"/>
              </w:rPr>
            </w:pPr>
            <w:r w:rsidRPr="00664CC7">
              <w:rPr>
                <w:rFonts w:eastAsia="SimSun"/>
                <w:b/>
                <w:color w:val="000000"/>
                <w:lang w:val="en-CA" w:eastAsia="zh-CN"/>
              </w:rPr>
              <w:t>CHANGES TO THE AGREEMENT</w:t>
            </w:r>
          </w:p>
        </w:tc>
      </w:tr>
    </w:tbl>
    <w:p w14:paraId="3A97C5A8" w14:textId="77777777" w:rsidR="000E78AF" w:rsidRPr="00664CC7" w:rsidRDefault="000E78AF" w:rsidP="00664CC7">
      <w:pPr>
        <w:keepNext/>
        <w:rPr>
          <w:rFonts w:eastAsia="SimSun"/>
          <w:color w:val="000000"/>
          <w:lang w:val="en-CA" w:eastAsia="zh-CN"/>
        </w:rPr>
      </w:pPr>
    </w:p>
    <w:p w14:paraId="6B8699D1" w14:textId="5714AF3B" w:rsidR="000E78AF" w:rsidRPr="00664CC7" w:rsidRDefault="00FA1EC4" w:rsidP="00664CC7">
      <w:pPr>
        <w:pStyle w:val="Heading1"/>
        <w:rPr>
          <w:rFonts w:eastAsia="SimSun"/>
          <w:color w:val="000000"/>
          <w:lang w:val="en-CA" w:eastAsia="zh-CN"/>
        </w:rPr>
      </w:pPr>
      <w:r w:rsidRPr="00664CC7">
        <w:rPr>
          <w:color w:val="000000"/>
          <w:lang w:val="en-CA"/>
        </w:rPr>
        <w:t>There are no changes to be introduced to the</w:t>
      </w:r>
      <w:r w:rsidR="000E78AF" w:rsidRPr="00664CC7">
        <w:rPr>
          <w:color w:val="000000"/>
          <w:lang w:val="en-CA"/>
        </w:rPr>
        <w:t xml:space="preserve"> approved Agreement between the Government concerned and the Executive Committee</w:t>
      </w:r>
      <w:r w:rsidR="000E78AF" w:rsidRPr="00664CC7">
        <w:rPr>
          <w:rFonts w:eastAsia="SimSun"/>
          <w:color w:val="000000"/>
          <w:lang w:val="en-CA" w:eastAsia="zh-CN"/>
        </w:rPr>
        <w:t>.</w:t>
      </w:r>
    </w:p>
    <w:p w14:paraId="4F935535" w14:textId="77777777" w:rsidR="00FA1EC4" w:rsidRPr="00664CC7" w:rsidRDefault="00FA1EC4" w:rsidP="00664CC7">
      <w:pPr>
        <w:rPr>
          <w:rFonts w:eastAsia="SimSun"/>
          <w:lang w:val="en-CA" w:eastAsia="zh-CN"/>
        </w:rPr>
      </w:pPr>
    </w:p>
    <w:p w14:paraId="3C2CF1FF" w14:textId="77777777" w:rsidR="000E78AF" w:rsidRPr="00664CC7" w:rsidRDefault="000E78AF" w:rsidP="00664CC7">
      <w:pPr>
        <w:jc w:val="center"/>
        <w:rPr>
          <w:b/>
          <w:lang w:val="en-CA"/>
        </w:rPr>
        <w:sectPr w:rsidR="000E78AF" w:rsidRPr="00664CC7" w:rsidSect="0008603E">
          <w:pgSz w:w="12240" w:h="15840" w:code="1"/>
          <w:pgMar w:top="990" w:right="630" w:bottom="1170" w:left="1440" w:header="720" w:footer="476" w:gutter="0"/>
          <w:cols w:space="720"/>
          <w:docGrid w:linePitch="360"/>
        </w:sectPr>
      </w:pPr>
    </w:p>
    <w:p w14:paraId="4ED2D56A" w14:textId="77777777" w:rsidR="000E78AF" w:rsidRPr="00664CC7" w:rsidRDefault="000E78AF" w:rsidP="00664CC7">
      <w:pPr>
        <w:jc w:val="center"/>
        <w:rPr>
          <w:b/>
          <w:lang w:val="en-CA"/>
        </w:rPr>
      </w:pPr>
      <w:r w:rsidRPr="00664CC7">
        <w:rPr>
          <w:b/>
          <w:lang w:val="en-CA"/>
        </w:rPr>
        <w:lastRenderedPageBreak/>
        <w:t xml:space="preserve">Annex II </w:t>
      </w:r>
    </w:p>
    <w:p w14:paraId="09523387" w14:textId="77777777" w:rsidR="000E78AF" w:rsidRPr="00664CC7" w:rsidRDefault="000E78AF" w:rsidP="00664CC7">
      <w:pPr>
        <w:jc w:val="center"/>
        <w:rPr>
          <w:b/>
          <w:lang w:val="en-CA"/>
        </w:rPr>
      </w:pPr>
    </w:p>
    <w:p w14:paraId="318F8ABA" w14:textId="77777777" w:rsidR="000E78AF" w:rsidRPr="00664CC7" w:rsidRDefault="000E78AF" w:rsidP="00664CC7">
      <w:pPr>
        <w:jc w:val="center"/>
        <w:rPr>
          <w:b/>
          <w:caps/>
          <w:lang w:val="en-CA"/>
        </w:rPr>
      </w:pPr>
      <w:r w:rsidRPr="00664CC7">
        <w:rPr>
          <w:b/>
          <w:caps/>
          <w:lang w:val="en-CA"/>
        </w:rPr>
        <w:t>Template for reporting progress for each tranche for activities in the servicing sector</w:t>
      </w:r>
    </w:p>
    <w:p w14:paraId="6AC9BC63" w14:textId="77777777" w:rsidR="000E78AF" w:rsidRPr="00664CC7" w:rsidRDefault="000E78AF" w:rsidP="00664CC7">
      <w:pPr>
        <w:jc w:val="center"/>
        <w:rPr>
          <w:b/>
          <w:caps/>
          <w:lang w:val="en-CA"/>
        </w:rPr>
      </w:pPr>
    </w:p>
    <w:p w14:paraId="20604D7C" w14:textId="77777777" w:rsidR="000E78AF" w:rsidRDefault="000E78AF" w:rsidP="00664CC7">
      <w:pPr>
        <w:pStyle w:val="ListParagraph"/>
        <w:ind w:left="360"/>
        <w:rPr>
          <w:lang w:val="en-CA"/>
        </w:rPr>
      </w:pPr>
    </w:p>
    <w:tbl>
      <w:tblPr>
        <w:tblStyle w:val="TableGrid"/>
        <w:tblW w:w="5071" w:type="pct"/>
        <w:tblInd w:w="-185" w:type="dxa"/>
        <w:tblLayout w:type="fixed"/>
        <w:tblLook w:val="04A0" w:firstRow="1" w:lastRow="0" w:firstColumn="1" w:lastColumn="0" w:noHBand="0" w:noVBand="1"/>
      </w:tblPr>
      <w:tblGrid>
        <w:gridCol w:w="1288"/>
        <w:gridCol w:w="1287"/>
        <w:gridCol w:w="2267"/>
        <w:gridCol w:w="1679"/>
        <w:gridCol w:w="1206"/>
        <w:gridCol w:w="1889"/>
        <w:gridCol w:w="946"/>
        <w:gridCol w:w="946"/>
        <w:gridCol w:w="1626"/>
      </w:tblGrid>
      <w:tr w:rsidR="008B375A" w:rsidRPr="00D20001" w14:paraId="3D93875C" w14:textId="77777777" w:rsidTr="008B375A">
        <w:tc>
          <w:tcPr>
            <w:tcW w:w="490" w:type="pct"/>
          </w:tcPr>
          <w:p w14:paraId="0C666637" w14:textId="77777777" w:rsidR="00915BBE" w:rsidRPr="00402F25" w:rsidRDefault="00915BBE" w:rsidP="00915BBE">
            <w:pPr>
              <w:jc w:val="center"/>
              <w:rPr>
                <w:b/>
                <w:bCs/>
                <w:sz w:val="18"/>
                <w:szCs w:val="18"/>
                <w:lang w:val="en-CA"/>
              </w:rPr>
            </w:pPr>
            <w:r w:rsidRPr="00402F25">
              <w:rPr>
                <w:b/>
                <w:bCs/>
                <w:sz w:val="18"/>
                <w:szCs w:val="18"/>
                <w:lang w:val="en-CA"/>
              </w:rPr>
              <w:t>Agency</w:t>
            </w:r>
          </w:p>
          <w:p w14:paraId="2F2E774E" w14:textId="4F6C0E4B" w:rsidR="008B375A" w:rsidRPr="00402F25" w:rsidRDefault="00915BBE" w:rsidP="00915BBE">
            <w:pPr>
              <w:jc w:val="center"/>
              <w:rPr>
                <w:b/>
                <w:bCs/>
                <w:sz w:val="18"/>
                <w:szCs w:val="18"/>
                <w:lang w:val="en-CA"/>
              </w:rPr>
            </w:pPr>
            <w:r w:rsidRPr="00402F25">
              <w:rPr>
                <w:b/>
                <w:bCs/>
                <w:sz w:val="18"/>
                <w:szCs w:val="18"/>
                <w:lang w:val="en-CA"/>
              </w:rPr>
              <w:t>(1)</w:t>
            </w:r>
          </w:p>
        </w:tc>
        <w:tc>
          <w:tcPr>
            <w:tcW w:w="490" w:type="pct"/>
          </w:tcPr>
          <w:p w14:paraId="4053ADE3" w14:textId="05DDF5E1" w:rsidR="008B375A" w:rsidRDefault="008B375A" w:rsidP="00A92397">
            <w:pPr>
              <w:jc w:val="center"/>
              <w:rPr>
                <w:b/>
                <w:bCs/>
                <w:sz w:val="18"/>
                <w:szCs w:val="18"/>
                <w:lang w:val="en-CA"/>
              </w:rPr>
            </w:pPr>
            <w:r w:rsidRPr="00402F25">
              <w:rPr>
                <w:b/>
                <w:bCs/>
                <w:sz w:val="18"/>
                <w:szCs w:val="18"/>
                <w:lang w:val="en-CA"/>
              </w:rPr>
              <w:t>Project/</w:t>
            </w:r>
          </w:p>
          <w:p w14:paraId="35035BBC" w14:textId="5677786C" w:rsidR="008B375A" w:rsidRPr="00402F25" w:rsidRDefault="008B375A" w:rsidP="00A92397">
            <w:pPr>
              <w:jc w:val="center"/>
              <w:rPr>
                <w:b/>
                <w:bCs/>
                <w:sz w:val="18"/>
                <w:szCs w:val="18"/>
                <w:lang w:val="en-CA"/>
              </w:rPr>
            </w:pPr>
            <w:r w:rsidRPr="00402F25">
              <w:rPr>
                <w:b/>
                <w:bCs/>
                <w:sz w:val="18"/>
                <w:szCs w:val="18"/>
                <w:lang w:val="en-CA"/>
              </w:rPr>
              <w:t>component</w:t>
            </w:r>
          </w:p>
          <w:p w14:paraId="5CE30C98" w14:textId="77777777" w:rsidR="008B375A" w:rsidRPr="00402F25" w:rsidRDefault="008B375A" w:rsidP="00A92397">
            <w:pPr>
              <w:jc w:val="center"/>
              <w:rPr>
                <w:b/>
                <w:bCs/>
                <w:sz w:val="18"/>
                <w:szCs w:val="18"/>
                <w:lang w:val="en-CA"/>
              </w:rPr>
            </w:pPr>
            <w:r w:rsidRPr="00402F25">
              <w:rPr>
                <w:b/>
                <w:bCs/>
                <w:sz w:val="18"/>
                <w:szCs w:val="18"/>
                <w:lang w:val="en-CA"/>
              </w:rPr>
              <w:t>(2)</w:t>
            </w:r>
          </w:p>
          <w:p w14:paraId="0D670022" w14:textId="77777777" w:rsidR="008B375A" w:rsidRPr="00402F25" w:rsidRDefault="008B375A" w:rsidP="00A92397">
            <w:pPr>
              <w:rPr>
                <w:b/>
                <w:bCs/>
                <w:sz w:val="18"/>
                <w:szCs w:val="18"/>
                <w:lang w:val="en-CA"/>
              </w:rPr>
            </w:pPr>
          </w:p>
          <w:p w14:paraId="437CD4D2" w14:textId="77777777" w:rsidR="008B375A" w:rsidRPr="00402F25" w:rsidRDefault="008B375A" w:rsidP="00A92397">
            <w:pPr>
              <w:tabs>
                <w:tab w:val="left" w:pos="1366"/>
              </w:tabs>
              <w:rPr>
                <w:b/>
                <w:bCs/>
                <w:sz w:val="18"/>
                <w:szCs w:val="18"/>
                <w:u w:val="single"/>
                <w:lang w:val="en-CA"/>
              </w:rPr>
            </w:pPr>
            <w:r w:rsidRPr="00402F25">
              <w:rPr>
                <w:b/>
                <w:bCs/>
                <w:sz w:val="18"/>
                <w:szCs w:val="18"/>
                <w:lang w:val="en-CA"/>
              </w:rPr>
              <w:tab/>
            </w:r>
          </w:p>
        </w:tc>
        <w:tc>
          <w:tcPr>
            <w:tcW w:w="863" w:type="pct"/>
          </w:tcPr>
          <w:p w14:paraId="26FD462C" w14:textId="77777777" w:rsidR="008B375A" w:rsidRPr="00402F25" w:rsidRDefault="008B375A" w:rsidP="00402F25">
            <w:pPr>
              <w:rPr>
                <w:b/>
                <w:bCs/>
                <w:sz w:val="18"/>
                <w:szCs w:val="18"/>
                <w:lang w:val="en-CA"/>
              </w:rPr>
            </w:pPr>
            <w:r w:rsidRPr="00402F25">
              <w:rPr>
                <w:b/>
                <w:bCs/>
                <w:sz w:val="18"/>
                <w:szCs w:val="18"/>
                <w:lang w:val="en-CA"/>
              </w:rPr>
              <w:t xml:space="preserve">Activities completed in current tranche and description of impact </w:t>
            </w:r>
          </w:p>
          <w:p w14:paraId="5D79BD34" w14:textId="77777777" w:rsidR="008B375A" w:rsidRPr="00402F25" w:rsidRDefault="008B375A" w:rsidP="00A92397">
            <w:pPr>
              <w:jc w:val="center"/>
              <w:rPr>
                <w:b/>
                <w:bCs/>
                <w:sz w:val="18"/>
                <w:szCs w:val="18"/>
                <w:lang w:val="en-CA"/>
              </w:rPr>
            </w:pPr>
            <w:r w:rsidRPr="00402F25">
              <w:rPr>
                <w:b/>
                <w:bCs/>
                <w:sz w:val="18"/>
                <w:szCs w:val="18"/>
                <w:lang w:val="en-CA"/>
              </w:rPr>
              <w:t>(3)</w:t>
            </w:r>
          </w:p>
        </w:tc>
        <w:tc>
          <w:tcPr>
            <w:tcW w:w="639" w:type="pct"/>
          </w:tcPr>
          <w:p w14:paraId="225C6F13" w14:textId="77777777" w:rsidR="008B375A" w:rsidRPr="00402F25" w:rsidRDefault="008B375A" w:rsidP="00402F25">
            <w:pPr>
              <w:rPr>
                <w:b/>
                <w:bCs/>
                <w:sz w:val="18"/>
                <w:szCs w:val="18"/>
                <w:lang w:val="en-CA"/>
              </w:rPr>
            </w:pPr>
            <w:r w:rsidRPr="00402F25">
              <w:rPr>
                <w:b/>
                <w:bCs/>
                <w:sz w:val="18"/>
                <w:szCs w:val="18"/>
                <w:lang w:val="en-CA"/>
              </w:rPr>
              <w:t>Remaining activities from previous tranche to be implemented during subsequent tranche</w:t>
            </w:r>
          </w:p>
          <w:p w14:paraId="4F1DF70E" w14:textId="77777777" w:rsidR="008B375A" w:rsidRPr="00402F25" w:rsidRDefault="008B375A" w:rsidP="00A92397">
            <w:pPr>
              <w:jc w:val="center"/>
              <w:rPr>
                <w:b/>
                <w:bCs/>
                <w:sz w:val="18"/>
                <w:szCs w:val="18"/>
                <w:lang w:val="en-CA"/>
              </w:rPr>
            </w:pPr>
            <w:r w:rsidRPr="00402F25">
              <w:rPr>
                <w:b/>
                <w:bCs/>
                <w:sz w:val="18"/>
                <w:szCs w:val="18"/>
                <w:lang w:val="en-CA"/>
              </w:rPr>
              <w:t>(4)</w:t>
            </w:r>
          </w:p>
        </w:tc>
        <w:tc>
          <w:tcPr>
            <w:tcW w:w="459" w:type="pct"/>
          </w:tcPr>
          <w:p w14:paraId="4B9BB50B" w14:textId="77777777" w:rsidR="008B375A" w:rsidRPr="00402F25" w:rsidRDefault="008B375A" w:rsidP="00A92397">
            <w:pPr>
              <w:jc w:val="center"/>
              <w:rPr>
                <w:b/>
                <w:bCs/>
                <w:sz w:val="18"/>
                <w:szCs w:val="18"/>
                <w:lang w:val="en-CA"/>
              </w:rPr>
            </w:pPr>
            <w:r w:rsidRPr="00402F25">
              <w:rPr>
                <w:b/>
                <w:bCs/>
                <w:sz w:val="18"/>
                <w:szCs w:val="18"/>
                <w:lang w:val="en-CA"/>
              </w:rPr>
              <w:t>Balance of funds for remaining activities in previous tranche to be disbursed during next tranche</w:t>
            </w:r>
          </w:p>
          <w:p w14:paraId="2F7D427C" w14:textId="77777777" w:rsidR="008B375A" w:rsidRPr="00402F25" w:rsidRDefault="008B375A" w:rsidP="00A92397">
            <w:pPr>
              <w:jc w:val="center"/>
              <w:rPr>
                <w:b/>
                <w:bCs/>
                <w:sz w:val="18"/>
                <w:szCs w:val="18"/>
                <w:lang w:val="en-CA"/>
              </w:rPr>
            </w:pPr>
            <w:r w:rsidRPr="00402F25">
              <w:rPr>
                <w:b/>
                <w:bCs/>
                <w:sz w:val="18"/>
                <w:szCs w:val="18"/>
                <w:lang w:val="en-CA"/>
              </w:rPr>
              <w:t xml:space="preserve"> (5)</w:t>
            </w:r>
          </w:p>
        </w:tc>
        <w:tc>
          <w:tcPr>
            <w:tcW w:w="719" w:type="pct"/>
          </w:tcPr>
          <w:p w14:paraId="736C6091" w14:textId="77777777" w:rsidR="008B375A" w:rsidRPr="00402F25" w:rsidRDefault="008B375A" w:rsidP="00A92397">
            <w:pPr>
              <w:jc w:val="center"/>
              <w:rPr>
                <w:b/>
                <w:bCs/>
                <w:sz w:val="18"/>
                <w:szCs w:val="18"/>
                <w:lang w:val="en-CA"/>
              </w:rPr>
            </w:pPr>
            <w:r w:rsidRPr="00402F25">
              <w:rPr>
                <w:b/>
                <w:bCs/>
                <w:sz w:val="18"/>
                <w:szCs w:val="18"/>
                <w:lang w:val="en-CA"/>
              </w:rPr>
              <w:t xml:space="preserve">Activities planned for new tranche </w:t>
            </w:r>
          </w:p>
          <w:p w14:paraId="1FC18C7F" w14:textId="77777777" w:rsidR="008B375A" w:rsidRPr="00402F25" w:rsidRDefault="008B375A" w:rsidP="00A92397">
            <w:pPr>
              <w:jc w:val="center"/>
              <w:rPr>
                <w:b/>
                <w:bCs/>
                <w:sz w:val="18"/>
                <w:szCs w:val="18"/>
                <w:lang w:val="en-CA"/>
              </w:rPr>
            </w:pPr>
            <w:r w:rsidRPr="00402F25">
              <w:rPr>
                <w:b/>
                <w:bCs/>
                <w:sz w:val="18"/>
                <w:szCs w:val="18"/>
                <w:lang w:val="en-CA"/>
              </w:rPr>
              <w:t>(6)</w:t>
            </w:r>
          </w:p>
        </w:tc>
        <w:tc>
          <w:tcPr>
            <w:tcW w:w="360" w:type="pct"/>
          </w:tcPr>
          <w:p w14:paraId="5F379450" w14:textId="77777777" w:rsidR="008B375A" w:rsidRPr="00402F25" w:rsidRDefault="008B375A" w:rsidP="00A92397">
            <w:pPr>
              <w:jc w:val="center"/>
              <w:rPr>
                <w:b/>
                <w:bCs/>
                <w:sz w:val="18"/>
                <w:szCs w:val="18"/>
                <w:lang w:val="en-CA"/>
              </w:rPr>
            </w:pPr>
            <w:r w:rsidRPr="00402F25">
              <w:rPr>
                <w:b/>
                <w:bCs/>
                <w:sz w:val="18"/>
                <w:szCs w:val="18"/>
                <w:lang w:val="en-CA"/>
              </w:rPr>
              <w:t xml:space="preserve">Budget requested for new tranche </w:t>
            </w:r>
          </w:p>
          <w:p w14:paraId="7241B965" w14:textId="77777777" w:rsidR="008B375A" w:rsidRPr="00402F25" w:rsidRDefault="008B375A" w:rsidP="00A92397">
            <w:pPr>
              <w:jc w:val="center"/>
              <w:rPr>
                <w:b/>
                <w:bCs/>
                <w:sz w:val="18"/>
                <w:szCs w:val="18"/>
                <w:lang w:val="en-CA"/>
              </w:rPr>
            </w:pPr>
            <w:r w:rsidRPr="00402F25">
              <w:rPr>
                <w:b/>
                <w:bCs/>
                <w:sz w:val="18"/>
                <w:szCs w:val="18"/>
                <w:lang w:val="en-CA"/>
              </w:rPr>
              <w:t>(7)</w:t>
            </w:r>
          </w:p>
        </w:tc>
        <w:tc>
          <w:tcPr>
            <w:tcW w:w="360" w:type="pct"/>
          </w:tcPr>
          <w:p w14:paraId="5E724CF4" w14:textId="77777777" w:rsidR="008B375A" w:rsidRPr="00402F25" w:rsidRDefault="008B375A" w:rsidP="00A92397">
            <w:pPr>
              <w:jc w:val="center"/>
              <w:rPr>
                <w:b/>
                <w:bCs/>
                <w:sz w:val="18"/>
                <w:szCs w:val="18"/>
                <w:lang w:val="en-CA"/>
              </w:rPr>
            </w:pPr>
            <w:r w:rsidRPr="00402F25">
              <w:rPr>
                <w:b/>
                <w:bCs/>
                <w:sz w:val="18"/>
                <w:szCs w:val="18"/>
                <w:lang w:val="en-CA"/>
              </w:rPr>
              <w:t>Total budget for next implementation period</w:t>
            </w:r>
          </w:p>
          <w:p w14:paraId="61FF10D1" w14:textId="77777777" w:rsidR="008B375A" w:rsidRPr="00402F25" w:rsidRDefault="008B375A" w:rsidP="00A92397">
            <w:pPr>
              <w:jc w:val="center"/>
              <w:rPr>
                <w:b/>
                <w:bCs/>
                <w:sz w:val="18"/>
                <w:szCs w:val="18"/>
                <w:lang w:val="en-CA"/>
              </w:rPr>
            </w:pPr>
            <w:r w:rsidRPr="00402F25">
              <w:rPr>
                <w:b/>
                <w:bCs/>
                <w:sz w:val="18"/>
                <w:szCs w:val="18"/>
                <w:lang w:val="en-CA"/>
              </w:rPr>
              <w:t>(8)</w:t>
            </w:r>
          </w:p>
        </w:tc>
        <w:tc>
          <w:tcPr>
            <w:tcW w:w="619" w:type="pct"/>
          </w:tcPr>
          <w:p w14:paraId="11351C83" w14:textId="77777777" w:rsidR="008B375A" w:rsidRPr="00402F25" w:rsidRDefault="008B375A" w:rsidP="00A92397">
            <w:pPr>
              <w:jc w:val="center"/>
              <w:rPr>
                <w:b/>
                <w:bCs/>
                <w:sz w:val="18"/>
                <w:szCs w:val="18"/>
                <w:lang w:val="en-CA"/>
              </w:rPr>
            </w:pPr>
            <w:r w:rsidRPr="00402F25">
              <w:rPr>
                <w:b/>
                <w:bCs/>
                <w:sz w:val="18"/>
                <w:szCs w:val="18"/>
                <w:lang w:val="en-CA"/>
              </w:rPr>
              <w:t>Remarks</w:t>
            </w:r>
          </w:p>
        </w:tc>
      </w:tr>
      <w:tr w:rsidR="00342B91" w:rsidRPr="00D20001" w14:paraId="720F6365" w14:textId="77777777" w:rsidTr="002B3D39">
        <w:tc>
          <w:tcPr>
            <w:tcW w:w="490" w:type="pct"/>
          </w:tcPr>
          <w:p w14:paraId="37EA56E0" w14:textId="2947107B" w:rsidR="00342B91" w:rsidRPr="00662466" w:rsidRDefault="00342B91" w:rsidP="00342B91">
            <w:pPr>
              <w:rPr>
                <w:color w:val="000000"/>
                <w:sz w:val="18"/>
                <w:szCs w:val="18"/>
                <w:lang w:val="en-US" w:eastAsia="ja-JP"/>
              </w:rPr>
            </w:pPr>
            <w:r>
              <w:rPr>
                <w:color w:val="000000"/>
                <w:sz w:val="18"/>
                <w:szCs w:val="18"/>
                <w:lang w:val="en-US" w:eastAsia="ja-JP"/>
              </w:rPr>
              <w:t>UNDP</w:t>
            </w:r>
          </w:p>
        </w:tc>
        <w:tc>
          <w:tcPr>
            <w:tcW w:w="490" w:type="pct"/>
          </w:tcPr>
          <w:p w14:paraId="64B82F09" w14:textId="24A3B884" w:rsidR="00342B91" w:rsidRPr="00402F25" w:rsidRDefault="00342B91" w:rsidP="00342B91">
            <w:pPr>
              <w:rPr>
                <w:sz w:val="18"/>
                <w:szCs w:val="18"/>
                <w:highlight w:val="cyan"/>
                <w:lang w:val="en-CA"/>
              </w:rPr>
            </w:pPr>
            <w:r w:rsidRPr="00662466">
              <w:rPr>
                <w:color w:val="000000"/>
                <w:sz w:val="18"/>
                <w:szCs w:val="18"/>
                <w:lang w:val="en-US" w:eastAsia="ja-JP"/>
              </w:rPr>
              <w:t>Component 1: Legal and Regulatory measures</w:t>
            </w:r>
          </w:p>
        </w:tc>
        <w:tc>
          <w:tcPr>
            <w:tcW w:w="863" w:type="pct"/>
          </w:tcPr>
          <w:p w14:paraId="46E819DC" w14:textId="082AEA31" w:rsidR="00342B91" w:rsidRDefault="00342B91" w:rsidP="00342B91">
            <w:pPr>
              <w:jc w:val="left"/>
              <w:rPr>
                <w:sz w:val="18"/>
                <w:szCs w:val="18"/>
                <w:lang w:val="en-US"/>
              </w:rPr>
            </w:pPr>
            <w:r>
              <w:rPr>
                <w:sz w:val="18"/>
                <w:szCs w:val="18"/>
                <w:lang w:val="en-US"/>
              </w:rPr>
              <w:t>After ratification of the Kigali amendment in Georgia on 05 May 2023,</w:t>
            </w:r>
            <w:r w:rsidRPr="00886773">
              <w:rPr>
                <w:sz w:val="18"/>
                <w:szCs w:val="18"/>
                <w:lang w:val="en-US"/>
              </w:rPr>
              <w:t xml:space="preserve"> package of legislative changes was adopted</w:t>
            </w:r>
            <w:r>
              <w:rPr>
                <w:sz w:val="18"/>
                <w:szCs w:val="18"/>
                <w:lang w:val="en-US"/>
              </w:rPr>
              <w:t xml:space="preserve"> </w:t>
            </w:r>
            <w:r w:rsidRPr="004A6017">
              <w:rPr>
                <w:sz w:val="18"/>
                <w:szCs w:val="18"/>
                <w:lang w:val="en-US"/>
              </w:rPr>
              <w:t xml:space="preserve">on 16 </w:t>
            </w:r>
            <w:proofErr w:type="gramStart"/>
            <w:r w:rsidRPr="004A6017">
              <w:rPr>
                <w:sz w:val="18"/>
                <w:szCs w:val="18"/>
                <w:lang w:val="en-US"/>
              </w:rPr>
              <w:t>June,</w:t>
            </w:r>
            <w:proofErr w:type="gramEnd"/>
            <w:r w:rsidRPr="004A6017">
              <w:rPr>
                <w:sz w:val="18"/>
                <w:szCs w:val="18"/>
                <w:lang w:val="en-US"/>
              </w:rPr>
              <w:t xml:space="preserve"> 2023. According to these legislative changes using the </w:t>
            </w:r>
            <w:r w:rsidRPr="00FA52CA">
              <w:rPr>
                <w:sz w:val="18"/>
                <w:szCs w:val="18"/>
                <w:lang w:val="en-US"/>
              </w:rPr>
              <w:t>web-based electronic reporting and permit system</w:t>
            </w:r>
            <w:r>
              <w:rPr>
                <w:sz w:val="18"/>
                <w:szCs w:val="18"/>
                <w:lang w:val="en-US"/>
              </w:rPr>
              <w:t xml:space="preserve"> is in force since January 2024. </w:t>
            </w:r>
            <w:r w:rsidRPr="00700590">
              <w:rPr>
                <w:sz w:val="18"/>
                <w:szCs w:val="18"/>
                <w:lang w:val="en-US"/>
              </w:rPr>
              <w:t>As the web-based</w:t>
            </w:r>
            <w:r>
              <w:rPr>
                <w:sz w:val="18"/>
                <w:szCs w:val="18"/>
                <w:lang w:val="en-US"/>
              </w:rPr>
              <w:t xml:space="preserve"> electronic</w:t>
            </w:r>
            <w:r w:rsidRPr="00700590">
              <w:rPr>
                <w:sz w:val="18"/>
                <w:szCs w:val="18"/>
                <w:lang w:val="en-US"/>
              </w:rPr>
              <w:t xml:space="preserve"> system is intensively used since the beginning of this year, with N</w:t>
            </w:r>
            <w:r w:rsidR="008D7838">
              <w:rPr>
                <w:sz w:val="18"/>
                <w:szCs w:val="18"/>
                <w:lang w:val="en-US"/>
              </w:rPr>
              <w:t>O</w:t>
            </w:r>
            <w:r w:rsidRPr="00700590">
              <w:rPr>
                <w:sz w:val="18"/>
                <w:szCs w:val="18"/>
                <w:lang w:val="en-US"/>
              </w:rPr>
              <w:t xml:space="preserve">U’s request it is intensively observed, to collect all the needed changes for sophistication of the System. </w:t>
            </w:r>
            <w:r>
              <w:rPr>
                <w:sz w:val="18"/>
                <w:szCs w:val="18"/>
                <w:lang w:val="en-US"/>
              </w:rPr>
              <w:t>C</w:t>
            </w:r>
            <w:r w:rsidRPr="00700590">
              <w:rPr>
                <w:sz w:val="18"/>
                <w:szCs w:val="18"/>
                <w:lang w:val="en-US"/>
              </w:rPr>
              <w:t xml:space="preserve">hanges </w:t>
            </w:r>
            <w:r>
              <w:rPr>
                <w:sz w:val="18"/>
                <w:szCs w:val="18"/>
                <w:lang w:val="en-US"/>
              </w:rPr>
              <w:t>might be needed for the</w:t>
            </w:r>
            <w:r w:rsidRPr="00700590">
              <w:rPr>
                <w:sz w:val="18"/>
                <w:szCs w:val="18"/>
                <w:lang w:val="en-US"/>
              </w:rPr>
              <w:t xml:space="preserve"> system upgrade. </w:t>
            </w:r>
          </w:p>
          <w:p w14:paraId="5134E124" w14:textId="77777777" w:rsidR="00342B91" w:rsidRDefault="00342B91" w:rsidP="00342B91">
            <w:pPr>
              <w:jc w:val="left"/>
              <w:rPr>
                <w:sz w:val="18"/>
                <w:szCs w:val="18"/>
                <w:lang w:val="en-US"/>
              </w:rPr>
            </w:pPr>
          </w:p>
          <w:p w14:paraId="74AE0235" w14:textId="716719B6" w:rsidR="00342B91" w:rsidRDefault="00342B91" w:rsidP="00342B91">
            <w:pPr>
              <w:jc w:val="left"/>
              <w:rPr>
                <w:sz w:val="18"/>
                <w:szCs w:val="18"/>
                <w:lang w:val="en-US"/>
              </w:rPr>
            </w:pPr>
            <w:r>
              <w:rPr>
                <w:sz w:val="18"/>
                <w:szCs w:val="18"/>
                <w:lang w:val="en-US"/>
              </w:rPr>
              <w:t xml:space="preserve">20 trainings had been conducted </w:t>
            </w:r>
            <w:r w:rsidRPr="00FA52CA">
              <w:rPr>
                <w:sz w:val="18"/>
                <w:szCs w:val="18"/>
                <w:lang w:val="en-US"/>
              </w:rPr>
              <w:t>for end-users</w:t>
            </w:r>
            <w:r>
              <w:rPr>
                <w:sz w:val="18"/>
                <w:szCs w:val="18"/>
                <w:lang w:val="en-US"/>
              </w:rPr>
              <w:t xml:space="preserve">, environmental inspectors </w:t>
            </w:r>
            <w:r w:rsidRPr="00FA52CA">
              <w:rPr>
                <w:sz w:val="18"/>
                <w:szCs w:val="18"/>
                <w:lang w:val="en-US"/>
              </w:rPr>
              <w:t>and technicians for using the electronic reporting tool</w:t>
            </w:r>
            <w:r w:rsidRPr="004A6017">
              <w:rPr>
                <w:sz w:val="18"/>
                <w:szCs w:val="18"/>
                <w:lang w:val="en-US"/>
              </w:rPr>
              <w:t xml:space="preserve">.  </w:t>
            </w:r>
            <w:r w:rsidRPr="00700590">
              <w:rPr>
                <w:sz w:val="18"/>
                <w:szCs w:val="18"/>
                <w:lang w:val="en-US"/>
              </w:rPr>
              <w:t>In Total</w:t>
            </w:r>
            <w:r w:rsidRPr="004A6017">
              <w:rPr>
                <w:sz w:val="18"/>
                <w:szCs w:val="18"/>
                <w:lang w:val="en-US"/>
              </w:rPr>
              <w:t xml:space="preserve"> </w:t>
            </w:r>
            <w:r>
              <w:rPr>
                <w:sz w:val="18"/>
                <w:szCs w:val="18"/>
                <w:lang w:val="en-US"/>
              </w:rPr>
              <w:t>336</w:t>
            </w:r>
            <w:r w:rsidRPr="00700590">
              <w:rPr>
                <w:sz w:val="18"/>
                <w:szCs w:val="18"/>
                <w:lang w:val="en-US"/>
              </w:rPr>
              <w:t xml:space="preserve"> persons were </w:t>
            </w:r>
            <w:r w:rsidRPr="00700590">
              <w:rPr>
                <w:sz w:val="18"/>
                <w:szCs w:val="18"/>
                <w:lang w:val="en-US"/>
              </w:rPr>
              <w:lastRenderedPageBreak/>
              <w:t>trained.</w:t>
            </w:r>
            <w:r>
              <w:rPr>
                <w:sz w:val="18"/>
                <w:szCs w:val="18"/>
                <w:lang w:val="en-US"/>
              </w:rPr>
              <w:t xml:space="preserve"> Among them 55 females (16 %). </w:t>
            </w:r>
          </w:p>
          <w:p w14:paraId="5297AD2E" w14:textId="77777777" w:rsidR="00342B91" w:rsidRDefault="00342B91" w:rsidP="00342B91">
            <w:pPr>
              <w:jc w:val="left"/>
              <w:rPr>
                <w:sz w:val="18"/>
                <w:szCs w:val="18"/>
                <w:lang w:val="en-US"/>
              </w:rPr>
            </w:pPr>
          </w:p>
          <w:p w14:paraId="1FDB965A" w14:textId="77777777" w:rsidR="00342B91" w:rsidRPr="00E25BE6" w:rsidRDefault="00342B91" w:rsidP="00342B91">
            <w:pPr>
              <w:jc w:val="left"/>
              <w:rPr>
                <w:sz w:val="18"/>
                <w:szCs w:val="18"/>
                <w:lang w:val="en-US"/>
              </w:rPr>
            </w:pPr>
            <w:r w:rsidRPr="00E25BE6">
              <w:rPr>
                <w:sz w:val="18"/>
                <w:szCs w:val="18"/>
                <w:lang w:val="en-US"/>
              </w:rPr>
              <w:t>The web-based electronic reporting and permit system for HCFC import and consumption is completed.</w:t>
            </w:r>
          </w:p>
          <w:p w14:paraId="4623CFF7" w14:textId="77777777" w:rsidR="00342B91" w:rsidRDefault="00342B91" w:rsidP="00342B91">
            <w:pPr>
              <w:jc w:val="left"/>
              <w:rPr>
                <w:sz w:val="18"/>
                <w:szCs w:val="18"/>
                <w:lang w:val="en-US"/>
              </w:rPr>
            </w:pPr>
          </w:p>
          <w:p w14:paraId="66EE0554" w14:textId="77777777" w:rsidR="00342B91" w:rsidRDefault="00342B91" w:rsidP="00342B91">
            <w:pPr>
              <w:jc w:val="left"/>
              <w:rPr>
                <w:sz w:val="18"/>
                <w:szCs w:val="18"/>
                <w:lang w:val="en-US"/>
              </w:rPr>
            </w:pPr>
            <w:r>
              <w:rPr>
                <w:sz w:val="18"/>
                <w:szCs w:val="18"/>
                <w:lang w:val="en-US"/>
              </w:rPr>
              <w:t xml:space="preserve">Developing the </w:t>
            </w:r>
            <w:r w:rsidRPr="00FA52CA">
              <w:rPr>
                <w:sz w:val="18"/>
                <w:szCs w:val="18"/>
                <w:lang w:val="en-US"/>
              </w:rPr>
              <w:t>necessary legislative acts for introducing Green Public Procurement (GPP) criteria for procuring environmentally friendly RAC systems</w:t>
            </w:r>
            <w:r>
              <w:rPr>
                <w:sz w:val="18"/>
                <w:szCs w:val="18"/>
                <w:lang w:val="en-US"/>
              </w:rPr>
              <w:t xml:space="preserve"> is in progress. Will be finalized by the end of November 2024.</w:t>
            </w:r>
          </w:p>
          <w:p w14:paraId="544F561C" w14:textId="77777777" w:rsidR="00342B91" w:rsidRDefault="00342B91" w:rsidP="00342B91">
            <w:pPr>
              <w:jc w:val="left"/>
              <w:rPr>
                <w:sz w:val="18"/>
                <w:szCs w:val="18"/>
                <w:lang w:val="en-US"/>
              </w:rPr>
            </w:pPr>
          </w:p>
          <w:p w14:paraId="02A74DE9" w14:textId="1B525900" w:rsidR="00342B91" w:rsidRPr="004A6017" w:rsidRDefault="00342B91" w:rsidP="00342B91">
            <w:pPr>
              <w:jc w:val="left"/>
              <w:rPr>
                <w:sz w:val="18"/>
                <w:szCs w:val="18"/>
                <w:lang w:val="en-US"/>
              </w:rPr>
            </w:pPr>
            <w:r>
              <w:rPr>
                <w:sz w:val="18"/>
                <w:szCs w:val="18"/>
                <w:lang w:val="en-US"/>
              </w:rPr>
              <w:t xml:space="preserve"> D</w:t>
            </w:r>
            <w:r w:rsidRPr="00FA52CA">
              <w:rPr>
                <w:sz w:val="18"/>
                <w:szCs w:val="18"/>
                <w:lang w:val="en-US"/>
              </w:rPr>
              <w:t>etailed study on policy options for incentivizing the HCFC reuse management</w:t>
            </w:r>
            <w:r>
              <w:rPr>
                <w:sz w:val="18"/>
                <w:szCs w:val="18"/>
                <w:lang w:val="en-US"/>
              </w:rPr>
              <w:t xml:space="preserve"> is completed. Necessary legislative amendment package will be developed by the end of November 2024. </w:t>
            </w:r>
          </w:p>
          <w:p w14:paraId="6764A009" w14:textId="77777777" w:rsidR="00342B91" w:rsidRDefault="00342B91" w:rsidP="00342B91">
            <w:pPr>
              <w:jc w:val="left"/>
              <w:rPr>
                <w:sz w:val="18"/>
                <w:szCs w:val="18"/>
                <w:lang w:val="en-US"/>
              </w:rPr>
            </w:pPr>
          </w:p>
          <w:p w14:paraId="1A5C628C" w14:textId="77777777" w:rsidR="00342B91" w:rsidRDefault="00342B91" w:rsidP="00342B91">
            <w:pPr>
              <w:jc w:val="left"/>
              <w:rPr>
                <w:sz w:val="18"/>
                <w:szCs w:val="18"/>
                <w:lang w:val="en-US"/>
              </w:rPr>
            </w:pPr>
            <w:r>
              <w:rPr>
                <w:sz w:val="18"/>
                <w:szCs w:val="18"/>
                <w:lang w:val="en-US"/>
              </w:rPr>
              <w:t>P</w:t>
            </w:r>
            <w:r w:rsidRPr="00FA52CA">
              <w:rPr>
                <w:sz w:val="18"/>
                <w:szCs w:val="18"/>
                <w:lang w:val="en-US"/>
              </w:rPr>
              <w:t>rofessional qualification standards for the Level 4 Technicians</w:t>
            </w:r>
            <w:r>
              <w:rPr>
                <w:sz w:val="18"/>
                <w:szCs w:val="18"/>
                <w:lang w:val="en-US"/>
              </w:rPr>
              <w:t xml:space="preserve"> </w:t>
            </w:r>
            <w:proofErr w:type="gramStart"/>
            <w:r>
              <w:rPr>
                <w:sz w:val="18"/>
                <w:szCs w:val="18"/>
                <w:lang w:val="en-US"/>
              </w:rPr>
              <w:t>is</w:t>
            </w:r>
            <w:proofErr w:type="gramEnd"/>
            <w:r>
              <w:rPr>
                <w:sz w:val="18"/>
                <w:szCs w:val="18"/>
                <w:lang w:val="en-US"/>
              </w:rPr>
              <w:t xml:space="preserve"> developed in close cooperation with the Skills Development Agency and Ministry of Education; </w:t>
            </w:r>
          </w:p>
          <w:p w14:paraId="653D6734" w14:textId="77777777" w:rsidR="00342B91" w:rsidRDefault="00342B91" w:rsidP="00342B91">
            <w:pPr>
              <w:jc w:val="left"/>
              <w:rPr>
                <w:sz w:val="18"/>
                <w:szCs w:val="18"/>
                <w:lang w:val="en-US"/>
              </w:rPr>
            </w:pPr>
            <w:r>
              <w:rPr>
                <w:sz w:val="18"/>
                <w:szCs w:val="18"/>
                <w:lang w:val="en-US"/>
              </w:rPr>
              <w:t>Tests for the certification exams are developed and certification process is on place.</w:t>
            </w:r>
          </w:p>
          <w:p w14:paraId="7FAD27A1" w14:textId="412D0E78" w:rsidR="00342B91" w:rsidRDefault="00342B91" w:rsidP="00342B91">
            <w:pPr>
              <w:jc w:val="left"/>
              <w:rPr>
                <w:sz w:val="18"/>
                <w:szCs w:val="18"/>
                <w:lang w:val="en-US"/>
              </w:rPr>
            </w:pPr>
            <w:r>
              <w:rPr>
                <w:sz w:val="18"/>
                <w:szCs w:val="18"/>
                <w:lang w:val="en-US"/>
              </w:rPr>
              <w:t>S</w:t>
            </w:r>
            <w:r w:rsidRPr="00FA52CA">
              <w:rPr>
                <w:sz w:val="18"/>
                <w:szCs w:val="18"/>
                <w:lang w:val="en-US"/>
              </w:rPr>
              <w:t xml:space="preserve">tudy on policy options for incentivizing import and use of zero-low GWP based RAC systems </w:t>
            </w:r>
            <w:r>
              <w:rPr>
                <w:sz w:val="18"/>
                <w:szCs w:val="18"/>
                <w:lang w:val="en-US"/>
              </w:rPr>
              <w:t xml:space="preserve">is developed. Necessary legislative amendment package will be </w:t>
            </w:r>
            <w:r>
              <w:rPr>
                <w:sz w:val="18"/>
                <w:szCs w:val="18"/>
                <w:lang w:val="en-US"/>
              </w:rPr>
              <w:lastRenderedPageBreak/>
              <w:t>developed by the end of November 2024.</w:t>
            </w:r>
          </w:p>
          <w:p w14:paraId="30D6415A" w14:textId="77777777" w:rsidR="00342B91" w:rsidRDefault="00342B91" w:rsidP="00342B91">
            <w:pPr>
              <w:jc w:val="left"/>
              <w:rPr>
                <w:sz w:val="18"/>
                <w:szCs w:val="18"/>
                <w:lang w:val="en-US"/>
              </w:rPr>
            </w:pPr>
          </w:p>
          <w:p w14:paraId="2E152F93" w14:textId="2695E8E5" w:rsidR="00342B91" w:rsidRPr="00402F25" w:rsidRDefault="00342B91" w:rsidP="00342B91">
            <w:pPr>
              <w:jc w:val="left"/>
              <w:rPr>
                <w:sz w:val="18"/>
                <w:szCs w:val="18"/>
                <w:highlight w:val="yellow"/>
              </w:rPr>
            </w:pPr>
            <w:r w:rsidRPr="00FA52CA">
              <w:rPr>
                <w:sz w:val="18"/>
                <w:szCs w:val="18"/>
                <w:lang w:val="en-US"/>
              </w:rPr>
              <w:t>Update the Standards for Safety and Environmental Requirements</w:t>
            </w:r>
            <w:r>
              <w:rPr>
                <w:sz w:val="18"/>
                <w:szCs w:val="18"/>
                <w:lang w:val="en-US"/>
              </w:rPr>
              <w:t xml:space="preserve"> is in progress and will be finalized by the end of </w:t>
            </w:r>
            <w:proofErr w:type="gramStart"/>
            <w:r>
              <w:rPr>
                <w:sz w:val="18"/>
                <w:szCs w:val="18"/>
                <w:lang w:val="en-US"/>
              </w:rPr>
              <w:t>October,</w:t>
            </w:r>
            <w:proofErr w:type="gramEnd"/>
            <w:r>
              <w:rPr>
                <w:sz w:val="18"/>
                <w:szCs w:val="18"/>
                <w:lang w:val="en-US"/>
              </w:rPr>
              <w:t xml:space="preserve"> 2024.</w:t>
            </w:r>
          </w:p>
        </w:tc>
        <w:tc>
          <w:tcPr>
            <w:tcW w:w="639" w:type="pct"/>
          </w:tcPr>
          <w:p w14:paraId="4E82C06A" w14:textId="1C5BD138" w:rsidR="00342B91" w:rsidRPr="00402F25" w:rsidRDefault="00342B91" w:rsidP="00342B91">
            <w:pPr>
              <w:pStyle w:val="ListParagraph"/>
              <w:ind w:left="54"/>
              <w:jc w:val="left"/>
              <w:rPr>
                <w:sz w:val="18"/>
                <w:szCs w:val="18"/>
                <w:highlight w:val="yellow"/>
              </w:rPr>
            </w:pPr>
          </w:p>
        </w:tc>
        <w:tc>
          <w:tcPr>
            <w:tcW w:w="459" w:type="pct"/>
          </w:tcPr>
          <w:p w14:paraId="091C8F02" w14:textId="50A49BC1" w:rsidR="00342B91" w:rsidRPr="00640A81" w:rsidRDefault="00342B91" w:rsidP="00342B91">
            <w:pPr>
              <w:rPr>
                <w:sz w:val="18"/>
                <w:szCs w:val="18"/>
                <w:lang w:val="en-CA"/>
              </w:rPr>
            </w:pPr>
            <w:r>
              <w:rPr>
                <w:sz w:val="18"/>
                <w:szCs w:val="18"/>
                <w:lang w:val="en-CA"/>
              </w:rPr>
              <w:t xml:space="preserve">         </w:t>
            </w:r>
            <w:r w:rsidRPr="00640A81">
              <w:rPr>
                <w:sz w:val="18"/>
                <w:szCs w:val="18"/>
                <w:lang w:val="en-CA"/>
              </w:rPr>
              <w:t>0</w:t>
            </w:r>
          </w:p>
        </w:tc>
        <w:tc>
          <w:tcPr>
            <w:tcW w:w="719" w:type="pct"/>
            <w:vAlign w:val="center"/>
          </w:tcPr>
          <w:p w14:paraId="4AE3E287" w14:textId="74CAD72C" w:rsidR="00342B91" w:rsidRPr="00402F25" w:rsidRDefault="00342B91" w:rsidP="00342B91">
            <w:pPr>
              <w:rPr>
                <w:sz w:val="18"/>
                <w:szCs w:val="18"/>
                <w:highlight w:val="cyan"/>
              </w:rPr>
            </w:pPr>
            <w:r w:rsidRPr="000061E6">
              <w:rPr>
                <w:color w:val="000000"/>
                <w:sz w:val="18"/>
                <w:szCs w:val="18"/>
                <w:lang w:val="en-US" w:eastAsia="ro-RO"/>
              </w:rPr>
              <w:t>Activity 1.4. Develop regulations for labelling reclaimed refrigerants and placing them on the market</w:t>
            </w:r>
          </w:p>
        </w:tc>
        <w:tc>
          <w:tcPr>
            <w:tcW w:w="360" w:type="pct"/>
          </w:tcPr>
          <w:p w14:paraId="237633D4" w14:textId="59BD304B" w:rsidR="00342B91" w:rsidRPr="008D29F5" w:rsidRDefault="00342B91" w:rsidP="00342B91">
            <w:pPr>
              <w:rPr>
                <w:sz w:val="18"/>
                <w:szCs w:val="18"/>
                <w:lang w:val="en-CA"/>
              </w:rPr>
            </w:pPr>
            <w:r>
              <w:rPr>
                <w:sz w:val="18"/>
                <w:szCs w:val="18"/>
                <w:lang w:val="en-CA"/>
              </w:rPr>
              <w:t>4, 000</w:t>
            </w:r>
          </w:p>
        </w:tc>
        <w:tc>
          <w:tcPr>
            <w:tcW w:w="360" w:type="pct"/>
          </w:tcPr>
          <w:p w14:paraId="08AF1D3E" w14:textId="1F7323C8" w:rsidR="00342B91" w:rsidRPr="008D29F5" w:rsidRDefault="00342B91" w:rsidP="00342B91">
            <w:pPr>
              <w:rPr>
                <w:sz w:val="18"/>
                <w:szCs w:val="18"/>
                <w:lang w:val="en-CA"/>
              </w:rPr>
            </w:pPr>
            <w:r>
              <w:rPr>
                <w:sz w:val="18"/>
                <w:szCs w:val="18"/>
                <w:lang w:val="en-CA"/>
              </w:rPr>
              <w:t>4, 000</w:t>
            </w:r>
          </w:p>
        </w:tc>
        <w:tc>
          <w:tcPr>
            <w:tcW w:w="619" w:type="pct"/>
          </w:tcPr>
          <w:p w14:paraId="7DC83072" w14:textId="762A0381" w:rsidR="00973005" w:rsidRDefault="00973005" w:rsidP="00973005">
            <w:pPr>
              <w:jc w:val="left"/>
              <w:rPr>
                <w:sz w:val="18"/>
                <w:szCs w:val="18"/>
                <w:lang w:val="en-US"/>
              </w:rPr>
            </w:pPr>
            <w:r>
              <w:rPr>
                <w:sz w:val="18"/>
                <w:szCs w:val="18"/>
                <w:lang w:val="en-US"/>
              </w:rPr>
              <w:t xml:space="preserve">If </w:t>
            </w:r>
            <w:r w:rsidRPr="00700590">
              <w:rPr>
                <w:sz w:val="18"/>
                <w:szCs w:val="18"/>
                <w:lang w:val="en-US"/>
              </w:rPr>
              <w:t>changes for sophistication of the</w:t>
            </w:r>
            <w:r>
              <w:rPr>
                <w:sz w:val="18"/>
                <w:szCs w:val="18"/>
                <w:lang w:val="en-US"/>
              </w:rPr>
              <w:t xml:space="preserve"> web-based electronic</w:t>
            </w:r>
            <w:r w:rsidRPr="00700590">
              <w:rPr>
                <w:sz w:val="18"/>
                <w:szCs w:val="18"/>
                <w:lang w:val="en-US"/>
              </w:rPr>
              <w:t xml:space="preserve"> </w:t>
            </w:r>
            <w:r>
              <w:rPr>
                <w:sz w:val="18"/>
                <w:szCs w:val="18"/>
                <w:lang w:val="en-US"/>
              </w:rPr>
              <w:t>s</w:t>
            </w:r>
            <w:r w:rsidRPr="00700590">
              <w:rPr>
                <w:sz w:val="18"/>
                <w:szCs w:val="18"/>
                <w:lang w:val="en-US"/>
              </w:rPr>
              <w:t xml:space="preserve">ystem </w:t>
            </w:r>
            <w:r>
              <w:rPr>
                <w:sz w:val="18"/>
                <w:szCs w:val="18"/>
                <w:lang w:val="en-US"/>
              </w:rPr>
              <w:t xml:space="preserve">is needed it will be made before the end of 2024. </w:t>
            </w:r>
            <w:r w:rsidRPr="00700590">
              <w:rPr>
                <w:sz w:val="18"/>
                <w:szCs w:val="18"/>
                <w:lang w:val="en-US"/>
              </w:rPr>
              <w:t xml:space="preserve"> </w:t>
            </w:r>
          </w:p>
          <w:p w14:paraId="4101831A" w14:textId="16B1AFBB" w:rsidR="00342B91" w:rsidRPr="00973005" w:rsidRDefault="00342B91" w:rsidP="00342B91">
            <w:pPr>
              <w:rPr>
                <w:sz w:val="18"/>
                <w:szCs w:val="18"/>
                <w:highlight w:val="yellow"/>
                <w:lang w:val="en-US"/>
              </w:rPr>
            </w:pPr>
          </w:p>
        </w:tc>
      </w:tr>
      <w:tr w:rsidR="00342B91" w:rsidRPr="00D20001" w14:paraId="504D721C" w14:textId="77777777" w:rsidTr="008B375A">
        <w:tc>
          <w:tcPr>
            <w:tcW w:w="490" w:type="pct"/>
          </w:tcPr>
          <w:p w14:paraId="72214B35" w14:textId="77777777" w:rsidR="00342B91" w:rsidRPr="00675735" w:rsidRDefault="00342B91" w:rsidP="00342B91">
            <w:pPr>
              <w:rPr>
                <w:color w:val="000000"/>
                <w:sz w:val="18"/>
                <w:szCs w:val="18"/>
                <w:lang w:val="en-US" w:eastAsia="ja-JP"/>
              </w:rPr>
            </w:pPr>
          </w:p>
        </w:tc>
        <w:tc>
          <w:tcPr>
            <w:tcW w:w="490" w:type="pct"/>
          </w:tcPr>
          <w:p w14:paraId="62F6B58D" w14:textId="27A6169E" w:rsidR="00342B91" w:rsidRPr="00675735" w:rsidRDefault="00342B91" w:rsidP="00342B91">
            <w:pPr>
              <w:rPr>
                <w:sz w:val="18"/>
                <w:szCs w:val="18"/>
                <w:lang w:val="en-CA"/>
              </w:rPr>
            </w:pPr>
            <w:r w:rsidRPr="00C85C85">
              <w:rPr>
                <w:color w:val="000000"/>
                <w:sz w:val="18"/>
                <w:szCs w:val="18"/>
                <w:lang w:val="en-US" w:eastAsia="ja-JP"/>
              </w:rPr>
              <w:t>Component 2: Capacity building training</w:t>
            </w:r>
          </w:p>
        </w:tc>
        <w:tc>
          <w:tcPr>
            <w:tcW w:w="863" w:type="pct"/>
          </w:tcPr>
          <w:p w14:paraId="26A9349B" w14:textId="77777777" w:rsidR="00342B91" w:rsidRDefault="00342B91" w:rsidP="00342B91">
            <w:pPr>
              <w:jc w:val="left"/>
              <w:rPr>
                <w:sz w:val="18"/>
                <w:szCs w:val="18"/>
                <w:lang w:val="en-US"/>
              </w:rPr>
            </w:pPr>
            <w:r>
              <w:rPr>
                <w:sz w:val="18"/>
                <w:szCs w:val="18"/>
                <w:lang w:val="en-US"/>
              </w:rPr>
              <w:t xml:space="preserve">2.1. </w:t>
            </w:r>
            <w:r w:rsidRPr="00367E86">
              <w:rPr>
                <w:sz w:val="18"/>
                <w:szCs w:val="18"/>
                <w:lang w:val="en-US"/>
              </w:rPr>
              <w:t xml:space="preserve">Trainer is hired and </w:t>
            </w:r>
            <w:proofErr w:type="spellStart"/>
            <w:r>
              <w:rPr>
                <w:sz w:val="18"/>
                <w:szCs w:val="18"/>
                <w:lang w:val="en-US"/>
              </w:rPr>
              <w:t>ToTs</w:t>
            </w:r>
            <w:proofErr w:type="spellEnd"/>
            <w:r w:rsidRPr="00367E86">
              <w:rPr>
                <w:sz w:val="18"/>
                <w:szCs w:val="18"/>
                <w:lang w:val="en-US"/>
              </w:rPr>
              <w:t xml:space="preserve"> will be conducted before the end of November 2024.</w:t>
            </w:r>
          </w:p>
          <w:p w14:paraId="4453D41B" w14:textId="77777777" w:rsidR="00342B91" w:rsidRDefault="00342B91" w:rsidP="00342B91">
            <w:pPr>
              <w:jc w:val="left"/>
              <w:rPr>
                <w:sz w:val="18"/>
                <w:szCs w:val="18"/>
                <w:lang w:val="en-US"/>
              </w:rPr>
            </w:pPr>
          </w:p>
          <w:p w14:paraId="5EFCF9AE" w14:textId="3EDF2120" w:rsidR="00342B91" w:rsidRPr="004A6017" w:rsidRDefault="00342B91" w:rsidP="00342B91">
            <w:pPr>
              <w:rPr>
                <w:sz w:val="18"/>
                <w:szCs w:val="18"/>
                <w:lang w:val="en-US"/>
              </w:rPr>
            </w:pPr>
            <w:r>
              <w:rPr>
                <w:sz w:val="18"/>
                <w:szCs w:val="18"/>
                <w:lang w:val="en-US"/>
              </w:rPr>
              <w:t>2.3.</w:t>
            </w:r>
            <w:r w:rsidR="00B61576">
              <w:rPr>
                <w:sz w:val="18"/>
                <w:szCs w:val="18"/>
                <w:lang w:val="en-US"/>
              </w:rPr>
              <w:t xml:space="preserve"> </w:t>
            </w:r>
            <w:r w:rsidRPr="004A6017">
              <w:rPr>
                <w:sz w:val="18"/>
                <w:szCs w:val="18"/>
                <w:lang w:val="en-US"/>
              </w:rPr>
              <w:t xml:space="preserve">Trainings for technicians on good refrigeration practices and alternative refrigerants had been conducted in January 2024. Through the 10 training sessions up to 200 technicians were trained. </w:t>
            </w:r>
          </w:p>
          <w:p w14:paraId="2A037B4D" w14:textId="77777777" w:rsidR="00342B91" w:rsidRPr="004A6017" w:rsidRDefault="00342B91" w:rsidP="00342B91">
            <w:pPr>
              <w:rPr>
                <w:sz w:val="18"/>
                <w:szCs w:val="18"/>
                <w:lang w:val="en-US"/>
              </w:rPr>
            </w:pPr>
          </w:p>
          <w:p w14:paraId="629E12CF" w14:textId="77777777" w:rsidR="00342B91" w:rsidRPr="004A6017" w:rsidRDefault="00342B91" w:rsidP="00342B91">
            <w:pPr>
              <w:rPr>
                <w:sz w:val="18"/>
                <w:szCs w:val="18"/>
                <w:lang w:val="en-US"/>
              </w:rPr>
            </w:pPr>
            <w:r w:rsidRPr="004A6017">
              <w:rPr>
                <w:sz w:val="18"/>
                <w:szCs w:val="18"/>
                <w:lang w:val="en-US"/>
              </w:rPr>
              <w:t xml:space="preserve">2.4. Test for practical exams to be integrated in the certification examination had been developed and submitted to </w:t>
            </w:r>
            <w:proofErr w:type="spellStart"/>
            <w:r w:rsidRPr="004A6017">
              <w:rPr>
                <w:sz w:val="18"/>
                <w:szCs w:val="18"/>
                <w:lang w:val="en-US"/>
              </w:rPr>
              <w:t>MoEPA</w:t>
            </w:r>
            <w:proofErr w:type="spellEnd"/>
            <w:r w:rsidRPr="004A6017">
              <w:rPr>
                <w:sz w:val="18"/>
                <w:szCs w:val="18"/>
                <w:lang w:val="en-US"/>
              </w:rPr>
              <w:t>.</w:t>
            </w:r>
          </w:p>
          <w:p w14:paraId="6544873B" w14:textId="77777777" w:rsidR="00342B91" w:rsidRPr="004A6017" w:rsidRDefault="00342B91" w:rsidP="00342B91">
            <w:pPr>
              <w:rPr>
                <w:sz w:val="18"/>
                <w:szCs w:val="18"/>
                <w:lang w:val="en-US"/>
              </w:rPr>
            </w:pPr>
          </w:p>
          <w:p w14:paraId="1104E231" w14:textId="77777777" w:rsidR="00342B91" w:rsidRPr="004A6017" w:rsidRDefault="00342B91" w:rsidP="00342B91">
            <w:pPr>
              <w:rPr>
                <w:sz w:val="18"/>
                <w:szCs w:val="18"/>
                <w:lang w:val="en-US"/>
              </w:rPr>
            </w:pPr>
            <w:r w:rsidRPr="004A6017">
              <w:rPr>
                <w:sz w:val="18"/>
                <w:szCs w:val="18"/>
                <w:lang w:val="en-US"/>
              </w:rPr>
              <w:t xml:space="preserve"> 2.5. 6 trainings (2-days each) on the import controls for ODS for up to 90 customs officers had been conducted within 2023-2024. Among them 46 females (51%)</w:t>
            </w:r>
          </w:p>
          <w:p w14:paraId="036619AB" w14:textId="77777777" w:rsidR="00342B91" w:rsidRPr="004A6017" w:rsidRDefault="00342B91" w:rsidP="00342B91">
            <w:pPr>
              <w:rPr>
                <w:sz w:val="18"/>
                <w:szCs w:val="18"/>
                <w:lang w:val="en-US"/>
              </w:rPr>
            </w:pPr>
            <w:r w:rsidRPr="004A6017">
              <w:rPr>
                <w:sz w:val="18"/>
                <w:szCs w:val="18"/>
                <w:lang w:val="en-US"/>
              </w:rPr>
              <w:t xml:space="preserve"> Two training session is planned to be conducted in November 2024.</w:t>
            </w:r>
          </w:p>
          <w:p w14:paraId="7EF35A82" w14:textId="77777777" w:rsidR="00342B91" w:rsidRDefault="00342B91" w:rsidP="00342B91">
            <w:pPr>
              <w:rPr>
                <w:sz w:val="18"/>
                <w:szCs w:val="18"/>
                <w:lang w:val="en-US"/>
              </w:rPr>
            </w:pPr>
          </w:p>
          <w:p w14:paraId="58E41F91" w14:textId="77777777" w:rsidR="00342B91" w:rsidRPr="004A6017" w:rsidRDefault="00342B91" w:rsidP="00342B91">
            <w:pPr>
              <w:rPr>
                <w:sz w:val="18"/>
                <w:szCs w:val="18"/>
                <w:lang w:val="en-US"/>
              </w:rPr>
            </w:pPr>
            <w:r w:rsidRPr="004A6017">
              <w:rPr>
                <w:sz w:val="18"/>
                <w:szCs w:val="18"/>
                <w:lang w:val="en-US"/>
              </w:rPr>
              <w:t>2.6. 10 training sessions</w:t>
            </w:r>
            <w:r>
              <w:rPr>
                <w:sz w:val="18"/>
                <w:szCs w:val="18"/>
                <w:lang w:val="en-US"/>
              </w:rPr>
              <w:t xml:space="preserve"> for the environmental inspectors</w:t>
            </w:r>
            <w:r w:rsidRPr="004A6017">
              <w:rPr>
                <w:sz w:val="18"/>
                <w:szCs w:val="18"/>
                <w:lang w:val="en-US"/>
              </w:rPr>
              <w:t xml:space="preserve"> had been conducted within September-October</w:t>
            </w:r>
            <w:r>
              <w:rPr>
                <w:sz w:val="18"/>
                <w:szCs w:val="18"/>
                <w:lang w:val="en-US"/>
              </w:rPr>
              <w:t xml:space="preserve"> </w:t>
            </w:r>
            <w:r w:rsidRPr="004A6017">
              <w:rPr>
                <w:sz w:val="18"/>
                <w:szCs w:val="18"/>
                <w:lang w:val="en-US"/>
              </w:rPr>
              <w:t xml:space="preserve">2023. In </w:t>
            </w:r>
            <w:r w:rsidRPr="004A6017">
              <w:rPr>
                <w:sz w:val="18"/>
                <w:szCs w:val="18"/>
                <w:lang w:val="en-US"/>
              </w:rPr>
              <w:lastRenderedPageBreak/>
              <w:t>Total 136 Environmental Inspectors had been trained. Out of them 49 females (36%).</w:t>
            </w:r>
          </w:p>
          <w:p w14:paraId="429BDEB5" w14:textId="77777777" w:rsidR="00342B91" w:rsidRPr="004A6017" w:rsidRDefault="00342B91" w:rsidP="00342B91">
            <w:pPr>
              <w:rPr>
                <w:sz w:val="18"/>
                <w:szCs w:val="18"/>
                <w:lang w:val="en-US"/>
              </w:rPr>
            </w:pPr>
          </w:p>
          <w:p w14:paraId="70BBA835" w14:textId="7890F7A5" w:rsidR="00342B91" w:rsidRPr="004A6017" w:rsidRDefault="00342B91" w:rsidP="00342B91">
            <w:pPr>
              <w:rPr>
                <w:sz w:val="18"/>
                <w:szCs w:val="18"/>
                <w:lang w:val="en-US"/>
              </w:rPr>
            </w:pPr>
            <w:r w:rsidRPr="004A6017">
              <w:rPr>
                <w:sz w:val="18"/>
                <w:szCs w:val="18"/>
                <w:lang w:val="en-US"/>
              </w:rPr>
              <w:t xml:space="preserve">2.8. Revision and Update of the curriculum of the accredited vocational education </w:t>
            </w:r>
            <w:proofErr w:type="spellStart"/>
            <w:r w:rsidRPr="004A6017">
              <w:rPr>
                <w:sz w:val="18"/>
                <w:szCs w:val="18"/>
                <w:lang w:val="en-US"/>
              </w:rPr>
              <w:t>programme</w:t>
            </w:r>
            <w:proofErr w:type="spellEnd"/>
            <w:r w:rsidRPr="004A6017">
              <w:rPr>
                <w:sz w:val="18"/>
                <w:szCs w:val="18"/>
                <w:lang w:val="en-US"/>
              </w:rPr>
              <w:t xml:space="preserve"> is in progress and will be on place by the end of October 2024.</w:t>
            </w:r>
          </w:p>
          <w:p w14:paraId="6A30ED04" w14:textId="77777777" w:rsidR="00342B91" w:rsidRPr="004A6017" w:rsidRDefault="00342B91" w:rsidP="00342B91">
            <w:pPr>
              <w:rPr>
                <w:sz w:val="18"/>
                <w:szCs w:val="18"/>
                <w:lang w:val="en-US"/>
              </w:rPr>
            </w:pPr>
          </w:p>
          <w:p w14:paraId="2D9FCC3F" w14:textId="7201A4B7" w:rsidR="00342B91" w:rsidRPr="00675735" w:rsidRDefault="00342B91" w:rsidP="00342B91">
            <w:pPr>
              <w:jc w:val="left"/>
              <w:rPr>
                <w:rFonts w:eastAsia="SimSun"/>
                <w:sz w:val="18"/>
                <w:szCs w:val="18"/>
                <w:lang w:val="en-CA" w:eastAsia="zh-CN"/>
              </w:rPr>
            </w:pPr>
            <w:r w:rsidRPr="004A6017">
              <w:rPr>
                <w:sz w:val="18"/>
                <w:szCs w:val="18"/>
                <w:lang w:val="en-US"/>
              </w:rPr>
              <w:t xml:space="preserve">2.10. Within October-Novembre, 2023 and February 2024, 9 round table meetings had been conducted in close collaboration of </w:t>
            </w:r>
            <w:proofErr w:type="spellStart"/>
            <w:r w:rsidRPr="004A6017">
              <w:rPr>
                <w:sz w:val="18"/>
                <w:szCs w:val="18"/>
                <w:lang w:val="en-US"/>
              </w:rPr>
              <w:t>NoU</w:t>
            </w:r>
            <w:proofErr w:type="spellEnd"/>
            <w:r w:rsidRPr="004A6017">
              <w:rPr>
                <w:sz w:val="18"/>
                <w:szCs w:val="18"/>
                <w:lang w:val="en-US"/>
              </w:rPr>
              <w:t xml:space="preserve"> and Environmental Supervision department. In total 176 persons participated in meetings. </w:t>
            </w:r>
          </w:p>
        </w:tc>
        <w:tc>
          <w:tcPr>
            <w:tcW w:w="639" w:type="pct"/>
          </w:tcPr>
          <w:p w14:paraId="666B678C" w14:textId="4B15C003" w:rsidR="00342B91" w:rsidRPr="00675735" w:rsidRDefault="00342B91" w:rsidP="00342B91">
            <w:pPr>
              <w:pStyle w:val="ListParagraph"/>
              <w:ind w:left="96"/>
              <w:jc w:val="left"/>
              <w:rPr>
                <w:sz w:val="18"/>
                <w:szCs w:val="18"/>
              </w:rPr>
            </w:pPr>
          </w:p>
        </w:tc>
        <w:tc>
          <w:tcPr>
            <w:tcW w:w="459" w:type="pct"/>
          </w:tcPr>
          <w:p w14:paraId="41705DD2" w14:textId="238512EB" w:rsidR="00342B91" w:rsidRPr="00675735" w:rsidRDefault="00342B91" w:rsidP="00342B91">
            <w:pPr>
              <w:rPr>
                <w:sz w:val="18"/>
                <w:szCs w:val="18"/>
                <w:lang w:val="en-CA"/>
              </w:rPr>
            </w:pPr>
            <w:r>
              <w:rPr>
                <w:sz w:val="18"/>
                <w:szCs w:val="18"/>
                <w:lang w:val="en-CA"/>
              </w:rPr>
              <w:t xml:space="preserve">        0</w:t>
            </w:r>
          </w:p>
        </w:tc>
        <w:tc>
          <w:tcPr>
            <w:tcW w:w="719" w:type="pct"/>
          </w:tcPr>
          <w:p w14:paraId="3171F3CC" w14:textId="77777777" w:rsidR="00342B91" w:rsidRPr="00C006D9" w:rsidRDefault="00342B91" w:rsidP="00342B91">
            <w:pPr>
              <w:pStyle w:val="ListParagraph"/>
              <w:ind w:left="54"/>
              <w:jc w:val="left"/>
              <w:rPr>
                <w:sz w:val="18"/>
                <w:szCs w:val="18"/>
              </w:rPr>
            </w:pPr>
            <w:r w:rsidRPr="00C006D9">
              <w:rPr>
                <w:sz w:val="18"/>
                <w:szCs w:val="18"/>
              </w:rPr>
              <w:t>Activity 2.2: Develop a guideline on refrigerant leakage control and safe handling of flammable/toxic refrigerants and mini demonstration project on zero leaks.</w:t>
            </w:r>
          </w:p>
          <w:p w14:paraId="7BA29C2B" w14:textId="1BAD8FA1" w:rsidR="00342B91" w:rsidRPr="00C006D9" w:rsidRDefault="00342B91" w:rsidP="00342B91">
            <w:pPr>
              <w:pStyle w:val="ListParagraph"/>
              <w:ind w:left="54"/>
              <w:jc w:val="left"/>
              <w:rPr>
                <w:sz w:val="18"/>
                <w:szCs w:val="18"/>
              </w:rPr>
            </w:pPr>
            <w:r w:rsidRPr="00C006D9">
              <w:rPr>
                <w:sz w:val="18"/>
                <w:szCs w:val="18"/>
              </w:rPr>
              <w:t>Activity 2.3: Organize 8 training courses (4-days each) for up to 200 technicians on good refrigeration practices and alternative refrigerants</w:t>
            </w:r>
            <w:r w:rsidR="007C3D2B">
              <w:rPr>
                <w:sz w:val="18"/>
                <w:szCs w:val="18"/>
              </w:rPr>
              <w:t>.</w:t>
            </w:r>
          </w:p>
          <w:p w14:paraId="284E0D44" w14:textId="77777777" w:rsidR="00342B91" w:rsidRPr="00C006D9" w:rsidRDefault="00342B91" w:rsidP="00342B91">
            <w:pPr>
              <w:pStyle w:val="ListParagraph"/>
              <w:ind w:left="54"/>
              <w:jc w:val="left"/>
              <w:rPr>
                <w:sz w:val="18"/>
                <w:szCs w:val="18"/>
              </w:rPr>
            </w:pPr>
            <w:r w:rsidRPr="00C006D9">
              <w:rPr>
                <w:sz w:val="18"/>
                <w:szCs w:val="18"/>
              </w:rPr>
              <w:t>Activity 2.5. Organize 8 trainings (2-days each) on the import controls for ODS/non-ODS for up to 250 customs officers. Develop Customs Quick Tool for Screening ODS and print around 1,000 copies.</w:t>
            </w:r>
          </w:p>
          <w:p w14:paraId="555FB60E" w14:textId="6C795DEA" w:rsidR="00342B91" w:rsidRPr="00C006D9" w:rsidRDefault="00342B91" w:rsidP="00342B91">
            <w:pPr>
              <w:pStyle w:val="ListParagraph"/>
              <w:ind w:left="54"/>
              <w:jc w:val="left"/>
              <w:rPr>
                <w:sz w:val="18"/>
                <w:szCs w:val="18"/>
              </w:rPr>
            </w:pPr>
            <w:r w:rsidRPr="00C006D9">
              <w:rPr>
                <w:sz w:val="18"/>
                <w:szCs w:val="18"/>
              </w:rPr>
              <w:t>Activity 2.6. Organize 8 two days trainings (2-days each) for up to 150 environmental inspectors on the control of compliance with the ODS regulations</w:t>
            </w:r>
            <w:r w:rsidR="007C3D2B">
              <w:rPr>
                <w:sz w:val="18"/>
                <w:szCs w:val="18"/>
              </w:rPr>
              <w:t>.</w:t>
            </w:r>
          </w:p>
          <w:p w14:paraId="53D81472" w14:textId="77777777" w:rsidR="00342B91" w:rsidRPr="00C006D9" w:rsidRDefault="00342B91" w:rsidP="00342B91">
            <w:pPr>
              <w:pStyle w:val="ListParagraph"/>
              <w:ind w:left="54"/>
              <w:jc w:val="left"/>
              <w:rPr>
                <w:sz w:val="18"/>
                <w:szCs w:val="18"/>
              </w:rPr>
            </w:pPr>
            <w:r w:rsidRPr="00C006D9">
              <w:rPr>
                <w:sz w:val="18"/>
                <w:szCs w:val="18"/>
              </w:rPr>
              <w:lastRenderedPageBreak/>
              <w:t>Activity 2.7. Carry out online technical assistance programme for technicians /end-users of RAC during up to 2 years. Raise awareness of SH on feasible business model for R&amp;R infrastructure; Develop and implement communication plan.</w:t>
            </w:r>
          </w:p>
          <w:p w14:paraId="0ECC13B7" w14:textId="1BDB7729" w:rsidR="00342B91" w:rsidRPr="00675735" w:rsidRDefault="00342B91" w:rsidP="00342B91">
            <w:pPr>
              <w:pStyle w:val="ListParagraph"/>
              <w:ind w:left="54"/>
              <w:jc w:val="left"/>
              <w:rPr>
                <w:sz w:val="18"/>
                <w:szCs w:val="18"/>
              </w:rPr>
            </w:pPr>
            <w:r w:rsidRPr="00C006D9">
              <w:rPr>
                <w:sz w:val="18"/>
                <w:szCs w:val="18"/>
              </w:rPr>
              <w:t xml:space="preserve">Activity 2.10: Organize 10 roundtable meetings for policy dialogue to facilitate the alignment of policies across respective sectors and reinforce the HCFC phase-out and </w:t>
            </w:r>
            <w:r w:rsidR="004500EB">
              <w:rPr>
                <w:sz w:val="18"/>
                <w:szCs w:val="18"/>
              </w:rPr>
              <w:t>HFC</w:t>
            </w:r>
            <w:r w:rsidRPr="00C006D9">
              <w:rPr>
                <w:sz w:val="18"/>
                <w:szCs w:val="18"/>
              </w:rPr>
              <w:t xml:space="preserve"> phase-down in the country.</w:t>
            </w:r>
          </w:p>
        </w:tc>
        <w:tc>
          <w:tcPr>
            <w:tcW w:w="360" w:type="pct"/>
          </w:tcPr>
          <w:p w14:paraId="461CFF77" w14:textId="77D04703" w:rsidR="00342B91" w:rsidRPr="00675735" w:rsidRDefault="00342B91" w:rsidP="00342B91">
            <w:pPr>
              <w:rPr>
                <w:sz w:val="18"/>
                <w:szCs w:val="18"/>
                <w:lang w:val="en-CA"/>
              </w:rPr>
            </w:pPr>
            <w:r>
              <w:rPr>
                <w:sz w:val="18"/>
                <w:szCs w:val="18"/>
                <w:lang w:val="en-CA"/>
              </w:rPr>
              <w:lastRenderedPageBreak/>
              <w:t>53,850</w:t>
            </w:r>
          </w:p>
        </w:tc>
        <w:tc>
          <w:tcPr>
            <w:tcW w:w="360" w:type="pct"/>
          </w:tcPr>
          <w:p w14:paraId="6181439B" w14:textId="22E12CC7" w:rsidR="00342B91" w:rsidRPr="00675735" w:rsidRDefault="00342B91" w:rsidP="00342B91">
            <w:pPr>
              <w:rPr>
                <w:sz w:val="18"/>
                <w:szCs w:val="18"/>
                <w:lang w:val="en-CA"/>
              </w:rPr>
            </w:pPr>
            <w:r>
              <w:rPr>
                <w:sz w:val="18"/>
                <w:szCs w:val="18"/>
                <w:lang w:val="en-CA"/>
              </w:rPr>
              <w:t>53,850</w:t>
            </w:r>
          </w:p>
        </w:tc>
        <w:tc>
          <w:tcPr>
            <w:tcW w:w="619" w:type="pct"/>
          </w:tcPr>
          <w:p w14:paraId="370B872C" w14:textId="77777777" w:rsidR="00342B91" w:rsidRPr="00402F25" w:rsidRDefault="00342B91" w:rsidP="00342B91">
            <w:pPr>
              <w:rPr>
                <w:sz w:val="18"/>
                <w:szCs w:val="18"/>
                <w:highlight w:val="yellow"/>
                <w:lang w:val="en-CA"/>
              </w:rPr>
            </w:pPr>
          </w:p>
        </w:tc>
      </w:tr>
      <w:tr w:rsidR="00342B91" w:rsidRPr="00D20001" w14:paraId="3BAE7CF6" w14:textId="77777777" w:rsidTr="008B375A">
        <w:tc>
          <w:tcPr>
            <w:tcW w:w="490" w:type="pct"/>
          </w:tcPr>
          <w:p w14:paraId="33DA60A1" w14:textId="77777777" w:rsidR="00342B91" w:rsidRPr="00675735" w:rsidRDefault="00342B91" w:rsidP="00342B91">
            <w:pPr>
              <w:jc w:val="left"/>
              <w:rPr>
                <w:sz w:val="18"/>
                <w:szCs w:val="18"/>
              </w:rPr>
            </w:pPr>
          </w:p>
        </w:tc>
        <w:tc>
          <w:tcPr>
            <w:tcW w:w="490" w:type="pct"/>
          </w:tcPr>
          <w:p w14:paraId="487C6D62" w14:textId="3E2412A7" w:rsidR="00342B91" w:rsidRPr="00675735" w:rsidRDefault="00342B91" w:rsidP="00342B91">
            <w:pPr>
              <w:rPr>
                <w:sz w:val="18"/>
                <w:szCs w:val="18"/>
                <w:lang w:val="en-CA"/>
              </w:rPr>
            </w:pPr>
            <w:r w:rsidRPr="00C85C85">
              <w:rPr>
                <w:color w:val="000000"/>
                <w:sz w:val="18"/>
                <w:szCs w:val="18"/>
                <w:lang w:val="en-US" w:eastAsia="ja-JP"/>
              </w:rPr>
              <w:t>Component 3: Demonstration projects</w:t>
            </w:r>
          </w:p>
        </w:tc>
        <w:tc>
          <w:tcPr>
            <w:tcW w:w="863" w:type="pct"/>
          </w:tcPr>
          <w:p w14:paraId="51A3706A" w14:textId="0714C648" w:rsidR="00342B91" w:rsidRPr="004A6017" w:rsidRDefault="00342B91" w:rsidP="00342B91">
            <w:pPr>
              <w:jc w:val="left"/>
              <w:rPr>
                <w:sz w:val="18"/>
                <w:szCs w:val="18"/>
                <w:lang w:val="en-US"/>
              </w:rPr>
            </w:pPr>
            <w:r w:rsidRPr="004A6017">
              <w:rPr>
                <w:sz w:val="18"/>
                <w:szCs w:val="18"/>
                <w:lang w:val="en-US"/>
              </w:rPr>
              <w:t>3.1. Analysis of obstacles of technology transfer/inflow including the recommendations is in progress and will be ready by the end of October 2024.</w:t>
            </w:r>
          </w:p>
          <w:p w14:paraId="061C82AE" w14:textId="77777777" w:rsidR="00342B91" w:rsidRPr="004A6017" w:rsidRDefault="00342B91" w:rsidP="00342B91">
            <w:pPr>
              <w:jc w:val="left"/>
              <w:rPr>
                <w:sz w:val="18"/>
                <w:szCs w:val="18"/>
                <w:lang w:val="en-US"/>
              </w:rPr>
            </w:pPr>
          </w:p>
          <w:p w14:paraId="0ECDFD78" w14:textId="53FB4651" w:rsidR="00342B91" w:rsidRPr="004A6017" w:rsidRDefault="00342B91" w:rsidP="00342B91">
            <w:pPr>
              <w:jc w:val="left"/>
              <w:rPr>
                <w:sz w:val="18"/>
                <w:szCs w:val="18"/>
                <w:lang w:val="en-US"/>
              </w:rPr>
            </w:pPr>
            <w:r w:rsidRPr="004A6017">
              <w:rPr>
                <w:sz w:val="18"/>
                <w:szCs w:val="18"/>
                <w:lang w:val="en-US"/>
              </w:rPr>
              <w:t xml:space="preserve">3.2. Developing detailed scope for the technology demonstration </w:t>
            </w:r>
            <w:proofErr w:type="spellStart"/>
            <w:r w:rsidRPr="004A6017">
              <w:rPr>
                <w:sz w:val="18"/>
                <w:szCs w:val="18"/>
                <w:lang w:val="en-US"/>
              </w:rPr>
              <w:t>programme</w:t>
            </w:r>
            <w:proofErr w:type="spellEnd"/>
            <w:r w:rsidRPr="004A6017">
              <w:rPr>
                <w:sz w:val="18"/>
                <w:szCs w:val="18"/>
                <w:lang w:val="en-US"/>
              </w:rPr>
              <w:t xml:space="preserve"> is in progress and will be ready by the end of Novembre, 2024.</w:t>
            </w:r>
          </w:p>
          <w:p w14:paraId="687D2CA1" w14:textId="77777777" w:rsidR="00342B91" w:rsidRPr="00675735" w:rsidRDefault="00342B91" w:rsidP="00342B91">
            <w:pPr>
              <w:ind w:left="198"/>
              <w:jc w:val="left"/>
              <w:rPr>
                <w:rFonts w:eastAsia="SimSun"/>
                <w:sz w:val="18"/>
                <w:szCs w:val="18"/>
                <w:lang w:eastAsia="zh-CN"/>
              </w:rPr>
            </w:pPr>
          </w:p>
        </w:tc>
        <w:tc>
          <w:tcPr>
            <w:tcW w:w="639" w:type="pct"/>
          </w:tcPr>
          <w:p w14:paraId="25260923" w14:textId="71491E34" w:rsidR="00342B91" w:rsidRPr="00675735" w:rsidRDefault="00342B91" w:rsidP="00342B91">
            <w:pPr>
              <w:pStyle w:val="ListParagraph"/>
              <w:ind w:left="96"/>
              <w:jc w:val="left"/>
              <w:rPr>
                <w:sz w:val="18"/>
                <w:szCs w:val="18"/>
              </w:rPr>
            </w:pPr>
          </w:p>
        </w:tc>
        <w:tc>
          <w:tcPr>
            <w:tcW w:w="459" w:type="pct"/>
          </w:tcPr>
          <w:p w14:paraId="3F3945BA" w14:textId="462A06C3" w:rsidR="00342B91" w:rsidRPr="00675735" w:rsidRDefault="00342B91" w:rsidP="00342B91">
            <w:pPr>
              <w:jc w:val="center"/>
              <w:rPr>
                <w:sz w:val="18"/>
                <w:szCs w:val="18"/>
                <w:lang w:val="en-CA"/>
              </w:rPr>
            </w:pPr>
            <w:r>
              <w:rPr>
                <w:sz w:val="18"/>
                <w:szCs w:val="18"/>
                <w:lang w:val="en-CA"/>
              </w:rPr>
              <w:t>0</w:t>
            </w:r>
          </w:p>
        </w:tc>
        <w:tc>
          <w:tcPr>
            <w:tcW w:w="719" w:type="pct"/>
          </w:tcPr>
          <w:p w14:paraId="5F7099B7" w14:textId="77777777" w:rsidR="00342B91" w:rsidRPr="00342B91" w:rsidRDefault="00342B91" w:rsidP="00342B91">
            <w:pPr>
              <w:jc w:val="left"/>
              <w:rPr>
                <w:sz w:val="18"/>
                <w:szCs w:val="18"/>
              </w:rPr>
            </w:pPr>
            <w:r w:rsidRPr="00342B91">
              <w:rPr>
                <w:sz w:val="18"/>
                <w:szCs w:val="18"/>
              </w:rPr>
              <w:t>Activity 3.3. Design and implement demo projects with focus on the natural refrigerants, with up to 50% co-financing</w:t>
            </w:r>
          </w:p>
          <w:p w14:paraId="1334CB63" w14:textId="7DC5F218" w:rsidR="00342B91" w:rsidRPr="00675735" w:rsidRDefault="00342B91" w:rsidP="00342B91">
            <w:pPr>
              <w:jc w:val="left"/>
              <w:rPr>
                <w:sz w:val="18"/>
                <w:szCs w:val="18"/>
              </w:rPr>
            </w:pPr>
            <w:r w:rsidRPr="00342B91">
              <w:rPr>
                <w:sz w:val="18"/>
                <w:szCs w:val="18"/>
              </w:rPr>
              <w:t>Activity 3.4: Organize 2 workshops to present the outcomes of demonstration projects and applied technology</w:t>
            </w:r>
          </w:p>
        </w:tc>
        <w:tc>
          <w:tcPr>
            <w:tcW w:w="360" w:type="pct"/>
          </w:tcPr>
          <w:p w14:paraId="6B6B4E22" w14:textId="35D7F0F3" w:rsidR="00342B91" w:rsidRPr="00675735" w:rsidRDefault="00342B91" w:rsidP="00342B91">
            <w:pPr>
              <w:rPr>
                <w:sz w:val="18"/>
                <w:szCs w:val="18"/>
                <w:lang w:val="en-CA"/>
              </w:rPr>
            </w:pPr>
            <w:r>
              <w:rPr>
                <w:sz w:val="18"/>
                <w:szCs w:val="18"/>
                <w:lang w:val="en-CA"/>
              </w:rPr>
              <w:t>86,900</w:t>
            </w:r>
          </w:p>
        </w:tc>
        <w:tc>
          <w:tcPr>
            <w:tcW w:w="360" w:type="pct"/>
          </w:tcPr>
          <w:p w14:paraId="0EA15EE6" w14:textId="29CBCC88" w:rsidR="00342B91" w:rsidRPr="00675735" w:rsidRDefault="00342B91" w:rsidP="00342B91">
            <w:pPr>
              <w:rPr>
                <w:sz w:val="18"/>
                <w:szCs w:val="18"/>
                <w:lang w:val="en-CA"/>
              </w:rPr>
            </w:pPr>
            <w:r>
              <w:rPr>
                <w:sz w:val="18"/>
                <w:szCs w:val="18"/>
                <w:lang w:val="en-CA"/>
              </w:rPr>
              <w:t>86,900</w:t>
            </w:r>
          </w:p>
        </w:tc>
        <w:tc>
          <w:tcPr>
            <w:tcW w:w="619" w:type="pct"/>
          </w:tcPr>
          <w:p w14:paraId="5FC24A6F" w14:textId="77777777" w:rsidR="00342B91" w:rsidRPr="00402F25" w:rsidRDefault="00342B91" w:rsidP="00342B91">
            <w:pPr>
              <w:rPr>
                <w:sz w:val="18"/>
                <w:szCs w:val="18"/>
                <w:highlight w:val="yellow"/>
                <w:lang w:val="en-CA"/>
              </w:rPr>
            </w:pPr>
          </w:p>
        </w:tc>
      </w:tr>
      <w:tr w:rsidR="00342B91" w:rsidRPr="00D20001" w14:paraId="00B27BE1" w14:textId="77777777" w:rsidTr="008B375A">
        <w:tc>
          <w:tcPr>
            <w:tcW w:w="490" w:type="pct"/>
          </w:tcPr>
          <w:p w14:paraId="7FEBFFE0" w14:textId="77777777" w:rsidR="00342B91" w:rsidRPr="00675735" w:rsidRDefault="00342B91" w:rsidP="00342B91">
            <w:pPr>
              <w:rPr>
                <w:sz w:val="18"/>
                <w:szCs w:val="18"/>
              </w:rPr>
            </w:pPr>
          </w:p>
        </w:tc>
        <w:tc>
          <w:tcPr>
            <w:tcW w:w="490" w:type="pct"/>
          </w:tcPr>
          <w:p w14:paraId="40213D8B" w14:textId="4DCCBE0D" w:rsidR="00342B91" w:rsidRPr="00675735" w:rsidRDefault="00342B91" w:rsidP="00342B91">
            <w:pPr>
              <w:rPr>
                <w:sz w:val="18"/>
                <w:szCs w:val="18"/>
                <w:lang w:val="en-CA"/>
              </w:rPr>
            </w:pPr>
            <w:r w:rsidRPr="00915BBE">
              <w:rPr>
                <w:color w:val="000000"/>
                <w:sz w:val="18"/>
                <w:szCs w:val="18"/>
                <w:lang w:val="en-US" w:eastAsia="ja-JP"/>
              </w:rPr>
              <w:t xml:space="preserve">Component 4: Technical assistance to support good servicing practices in the </w:t>
            </w:r>
            <w:r w:rsidRPr="00915BBE">
              <w:rPr>
                <w:color w:val="000000"/>
                <w:sz w:val="18"/>
                <w:szCs w:val="18"/>
                <w:lang w:val="en-US" w:eastAsia="ja-JP"/>
              </w:rPr>
              <w:lastRenderedPageBreak/>
              <w:t>refrigeration sector</w:t>
            </w:r>
          </w:p>
        </w:tc>
        <w:tc>
          <w:tcPr>
            <w:tcW w:w="863" w:type="pct"/>
          </w:tcPr>
          <w:p w14:paraId="331159A1" w14:textId="43077DC4" w:rsidR="00342B91" w:rsidRDefault="00342B91" w:rsidP="00342B91">
            <w:pPr>
              <w:jc w:val="left"/>
              <w:rPr>
                <w:rFonts w:ascii="Sylfaen" w:hAnsi="Sylfaen"/>
                <w:sz w:val="18"/>
                <w:szCs w:val="18"/>
                <w:lang w:val="en-US"/>
              </w:rPr>
            </w:pPr>
            <w:r>
              <w:rPr>
                <w:rFonts w:ascii="Sylfaen" w:hAnsi="Sylfaen"/>
                <w:sz w:val="18"/>
                <w:szCs w:val="18"/>
                <w:lang w:val="en-US"/>
              </w:rPr>
              <w:lastRenderedPageBreak/>
              <w:t xml:space="preserve">4.1.  Due to the global problem with the refrigerant identifiers’ spare parts on the Global market, only four </w:t>
            </w:r>
            <w:r>
              <w:rPr>
                <w:rFonts w:ascii="Sylfaen" w:hAnsi="Sylfaen"/>
                <w:sz w:val="18"/>
                <w:szCs w:val="18"/>
                <w:lang w:val="en-US"/>
              </w:rPr>
              <w:lastRenderedPageBreak/>
              <w:t xml:space="preserve">identifiers were purchased for the Customs department. </w:t>
            </w:r>
          </w:p>
          <w:p w14:paraId="3BA8503A" w14:textId="1170983B" w:rsidR="00342B91" w:rsidRDefault="00342B91" w:rsidP="00342B91">
            <w:pPr>
              <w:jc w:val="left"/>
              <w:rPr>
                <w:rFonts w:ascii="Sylfaen" w:hAnsi="Sylfaen"/>
                <w:sz w:val="18"/>
                <w:szCs w:val="18"/>
                <w:lang w:val="en-US"/>
              </w:rPr>
            </w:pPr>
            <w:r>
              <w:rPr>
                <w:rFonts w:ascii="Sylfaen" w:hAnsi="Sylfaen"/>
                <w:sz w:val="18"/>
                <w:szCs w:val="18"/>
                <w:lang w:val="en-US"/>
              </w:rPr>
              <w:t>- Purchasing of the leak detectors is in progress and will be purchased before the end of November 2024.</w:t>
            </w:r>
          </w:p>
          <w:p w14:paraId="5642C414" w14:textId="431A99A3" w:rsidR="00342B91" w:rsidRPr="00675735" w:rsidRDefault="00342B91" w:rsidP="00342B91">
            <w:pPr>
              <w:jc w:val="left"/>
              <w:rPr>
                <w:rFonts w:eastAsia="SimSun"/>
                <w:sz w:val="18"/>
                <w:szCs w:val="18"/>
                <w:lang w:val="en-CA" w:eastAsia="zh-CN"/>
              </w:rPr>
            </w:pPr>
            <w:r>
              <w:rPr>
                <w:rFonts w:ascii="Sylfaen" w:hAnsi="Sylfaen"/>
                <w:sz w:val="18"/>
                <w:szCs w:val="18"/>
                <w:lang w:val="en-US"/>
              </w:rPr>
              <w:t>-</w:t>
            </w:r>
            <w:r w:rsidRPr="00886773">
              <w:rPr>
                <w:sz w:val="18"/>
                <w:szCs w:val="18"/>
                <w:lang w:val="en-US"/>
              </w:rPr>
              <w:t xml:space="preserve"> </w:t>
            </w:r>
            <w:r>
              <w:rPr>
                <w:sz w:val="18"/>
                <w:szCs w:val="18"/>
                <w:lang w:val="en-US"/>
              </w:rPr>
              <w:t xml:space="preserve">Following to the Kigali amendment, adoption of the new </w:t>
            </w:r>
            <w:r w:rsidRPr="00886773">
              <w:rPr>
                <w:sz w:val="18"/>
                <w:szCs w:val="18"/>
                <w:lang w:val="en-US"/>
              </w:rPr>
              <w:t>legislative changes</w:t>
            </w:r>
            <w:r>
              <w:rPr>
                <w:sz w:val="18"/>
                <w:szCs w:val="18"/>
                <w:lang w:val="en-US"/>
              </w:rPr>
              <w:t xml:space="preserve"> </w:t>
            </w:r>
            <w:r w:rsidRPr="004A6017">
              <w:rPr>
                <w:sz w:val="18"/>
                <w:szCs w:val="18"/>
                <w:lang w:val="en-US"/>
              </w:rPr>
              <w:t>on 16 June 2023</w:t>
            </w:r>
            <w:r w:rsidRPr="0062335F">
              <w:rPr>
                <w:sz w:val="18"/>
                <w:szCs w:val="18"/>
                <w:lang w:val="en-US"/>
              </w:rPr>
              <w:t>, set</w:t>
            </w:r>
            <w:r>
              <w:rPr>
                <w:sz w:val="18"/>
                <w:szCs w:val="18"/>
                <w:lang w:val="en-US"/>
              </w:rPr>
              <w:t xml:space="preserve"> the new obligations for the Environmental Inspectors. To fulfill these obligations, with PEB decision 8 armored tablets had been purchased, through the international procurement procedures.</w:t>
            </w:r>
          </w:p>
        </w:tc>
        <w:tc>
          <w:tcPr>
            <w:tcW w:w="639" w:type="pct"/>
          </w:tcPr>
          <w:p w14:paraId="5A691126" w14:textId="0CB0BE57" w:rsidR="00342B91" w:rsidRPr="00675735" w:rsidRDefault="00342B91" w:rsidP="00342B91">
            <w:pPr>
              <w:rPr>
                <w:sz w:val="18"/>
                <w:szCs w:val="18"/>
              </w:rPr>
            </w:pPr>
          </w:p>
        </w:tc>
        <w:tc>
          <w:tcPr>
            <w:tcW w:w="459" w:type="pct"/>
          </w:tcPr>
          <w:p w14:paraId="0BC3CF80" w14:textId="6A9F54D0" w:rsidR="00342B91" w:rsidRPr="00675735" w:rsidRDefault="00342B91" w:rsidP="00342B91">
            <w:pPr>
              <w:jc w:val="center"/>
              <w:rPr>
                <w:sz w:val="18"/>
                <w:szCs w:val="18"/>
                <w:lang w:val="en-CA"/>
              </w:rPr>
            </w:pPr>
            <w:r>
              <w:rPr>
                <w:sz w:val="18"/>
                <w:szCs w:val="18"/>
                <w:lang w:val="en-CA"/>
              </w:rPr>
              <w:t>0</w:t>
            </w:r>
          </w:p>
        </w:tc>
        <w:tc>
          <w:tcPr>
            <w:tcW w:w="719" w:type="pct"/>
          </w:tcPr>
          <w:p w14:paraId="5E2DBCE9" w14:textId="77777777" w:rsidR="00342B91" w:rsidRPr="00342B91" w:rsidRDefault="00342B91" w:rsidP="00342B91">
            <w:pPr>
              <w:pStyle w:val="ListParagraph"/>
              <w:ind w:left="54"/>
              <w:jc w:val="left"/>
              <w:rPr>
                <w:sz w:val="18"/>
                <w:szCs w:val="18"/>
              </w:rPr>
            </w:pPr>
            <w:r w:rsidRPr="00342B91">
              <w:rPr>
                <w:sz w:val="18"/>
                <w:szCs w:val="18"/>
              </w:rPr>
              <w:t xml:space="preserve">Activity </w:t>
            </w:r>
            <w:proofErr w:type="gramStart"/>
            <w:r w:rsidRPr="00342B91">
              <w:rPr>
                <w:sz w:val="18"/>
                <w:szCs w:val="18"/>
              </w:rPr>
              <w:t>4.2a,b.</w:t>
            </w:r>
            <w:proofErr w:type="gramEnd"/>
            <w:r w:rsidRPr="00342B91">
              <w:rPr>
                <w:sz w:val="18"/>
                <w:szCs w:val="18"/>
              </w:rPr>
              <w:t xml:space="preserve"> Supply 3 Services </w:t>
            </w:r>
            <w:proofErr w:type="spellStart"/>
            <w:r w:rsidRPr="00342B91">
              <w:rPr>
                <w:sz w:val="18"/>
                <w:szCs w:val="18"/>
              </w:rPr>
              <w:t>centers</w:t>
            </w:r>
            <w:proofErr w:type="spellEnd"/>
            <w:r w:rsidRPr="00342B91">
              <w:rPr>
                <w:sz w:val="18"/>
                <w:szCs w:val="18"/>
              </w:rPr>
              <w:t xml:space="preserve"> and individual technicians with equipment and tools </w:t>
            </w:r>
            <w:r w:rsidRPr="00342B91">
              <w:rPr>
                <w:sz w:val="18"/>
                <w:szCs w:val="18"/>
              </w:rPr>
              <w:lastRenderedPageBreak/>
              <w:t>in regional cities/towns.</w:t>
            </w:r>
          </w:p>
          <w:p w14:paraId="1BB525EA" w14:textId="77777777" w:rsidR="00342B91" w:rsidRPr="00342B91" w:rsidRDefault="00342B91" w:rsidP="00342B91">
            <w:pPr>
              <w:pStyle w:val="ListParagraph"/>
              <w:ind w:left="54"/>
              <w:jc w:val="left"/>
              <w:rPr>
                <w:sz w:val="18"/>
                <w:szCs w:val="18"/>
              </w:rPr>
            </w:pPr>
            <w:r w:rsidRPr="00342B91">
              <w:rPr>
                <w:sz w:val="18"/>
                <w:szCs w:val="18"/>
              </w:rPr>
              <w:t>Activity 4.3. Conduct a study to assess the infrastructure options for long-term on-site storage of used ODS. The study will also include a detailed cost assessment for establishment and maintenance of such storage facility.</w:t>
            </w:r>
          </w:p>
          <w:p w14:paraId="71FC1C2B" w14:textId="0F7C51BC" w:rsidR="00342B91" w:rsidRPr="00675735" w:rsidRDefault="00342B91" w:rsidP="00342B91">
            <w:pPr>
              <w:pStyle w:val="ListParagraph"/>
              <w:ind w:left="54"/>
              <w:jc w:val="left"/>
              <w:rPr>
                <w:sz w:val="18"/>
                <w:szCs w:val="18"/>
              </w:rPr>
            </w:pPr>
            <w:r w:rsidRPr="00342B91">
              <w:rPr>
                <w:sz w:val="18"/>
                <w:szCs w:val="18"/>
              </w:rPr>
              <w:t xml:space="preserve">Activity 4.5.  Stakeholder coordination, advisory, </w:t>
            </w:r>
            <w:proofErr w:type="gramStart"/>
            <w:r w:rsidRPr="00342B91">
              <w:rPr>
                <w:sz w:val="18"/>
                <w:szCs w:val="18"/>
              </w:rPr>
              <w:t>and  oversight</w:t>
            </w:r>
            <w:proofErr w:type="gramEnd"/>
            <w:r w:rsidRPr="00342B91">
              <w:rPr>
                <w:sz w:val="18"/>
                <w:szCs w:val="18"/>
              </w:rPr>
              <w:t xml:space="preserve"> of components</w:t>
            </w:r>
          </w:p>
        </w:tc>
        <w:tc>
          <w:tcPr>
            <w:tcW w:w="360" w:type="pct"/>
          </w:tcPr>
          <w:p w14:paraId="6FD18013" w14:textId="61D475F4" w:rsidR="00342B91" w:rsidRPr="00675735" w:rsidRDefault="00342B91" w:rsidP="00342B91">
            <w:pPr>
              <w:rPr>
                <w:sz w:val="18"/>
                <w:szCs w:val="18"/>
                <w:lang w:val="en-CA"/>
              </w:rPr>
            </w:pPr>
            <w:r>
              <w:rPr>
                <w:sz w:val="18"/>
                <w:szCs w:val="18"/>
                <w:lang w:val="en-CA"/>
              </w:rPr>
              <w:lastRenderedPageBreak/>
              <w:t>72,100</w:t>
            </w:r>
          </w:p>
        </w:tc>
        <w:tc>
          <w:tcPr>
            <w:tcW w:w="360" w:type="pct"/>
          </w:tcPr>
          <w:p w14:paraId="532B4CD1" w14:textId="6D0830A2" w:rsidR="00342B91" w:rsidRPr="00675735" w:rsidRDefault="00342B91" w:rsidP="00342B91">
            <w:pPr>
              <w:rPr>
                <w:sz w:val="18"/>
                <w:szCs w:val="18"/>
                <w:lang w:val="en-CA"/>
              </w:rPr>
            </w:pPr>
            <w:r>
              <w:rPr>
                <w:sz w:val="18"/>
                <w:szCs w:val="18"/>
                <w:lang w:val="en-CA"/>
              </w:rPr>
              <w:t>72,100</w:t>
            </w:r>
          </w:p>
        </w:tc>
        <w:tc>
          <w:tcPr>
            <w:tcW w:w="619" w:type="pct"/>
          </w:tcPr>
          <w:p w14:paraId="3F2EC7C4" w14:textId="77777777" w:rsidR="00342B91" w:rsidRPr="00402F25" w:rsidRDefault="00342B91" w:rsidP="00342B91">
            <w:pPr>
              <w:rPr>
                <w:sz w:val="18"/>
                <w:szCs w:val="18"/>
                <w:highlight w:val="yellow"/>
                <w:lang w:val="en-CA"/>
              </w:rPr>
            </w:pPr>
          </w:p>
        </w:tc>
      </w:tr>
    </w:tbl>
    <w:p w14:paraId="17EB0718" w14:textId="77777777" w:rsidR="00662466" w:rsidRPr="00664CC7" w:rsidRDefault="00662466" w:rsidP="00664CC7">
      <w:pPr>
        <w:pStyle w:val="ListParagraph"/>
        <w:ind w:left="360"/>
        <w:rPr>
          <w:lang w:val="en-CA"/>
        </w:rPr>
        <w:sectPr w:rsidR="00662466" w:rsidRPr="00664CC7" w:rsidSect="0008603E">
          <w:footerReference w:type="default" r:id="rId13"/>
          <w:pgSz w:w="15840" w:h="12240" w:orient="landscape" w:code="1"/>
          <w:pgMar w:top="1440" w:right="1440" w:bottom="1440" w:left="1440" w:header="720" w:footer="476" w:gutter="0"/>
          <w:pgNumType w:start="1"/>
          <w:cols w:space="720"/>
          <w:docGrid w:linePitch="360"/>
        </w:sectPr>
      </w:pPr>
    </w:p>
    <w:p w14:paraId="2D7E1303" w14:textId="77777777" w:rsidR="000E78AF" w:rsidRPr="00664CC7" w:rsidRDefault="000E78AF" w:rsidP="00664CC7">
      <w:pPr>
        <w:spacing w:after="120"/>
        <w:rPr>
          <w:lang w:val="en-CA"/>
        </w:rPr>
        <w:sectPr w:rsidR="000E78AF" w:rsidRPr="00664CC7" w:rsidSect="0008603E">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475" w:gutter="0"/>
          <w:pgNumType w:start="1"/>
          <w:cols w:space="720"/>
          <w:titlePg/>
          <w:docGrid w:linePitch="299"/>
        </w:sectPr>
      </w:pPr>
    </w:p>
    <w:p w14:paraId="58AC1DD3" w14:textId="77777777" w:rsidR="000E78AF" w:rsidRPr="00664CC7" w:rsidRDefault="000E78AF" w:rsidP="00664CC7">
      <w:pPr>
        <w:widowControl w:val="0"/>
        <w:spacing w:after="240"/>
        <w:jc w:val="center"/>
        <w:rPr>
          <w:rFonts w:eastAsia="SimSun"/>
          <w:b/>
          <w:color w:val="000000"/>
          <w:lang w:val="en-CA" w:eastAsia="zh-CN"/>
        </w:rPr>
      </w:pPr>
      <w:r w:rsidRPr="00664CC7">
        <w:rPr>
          <w:rFonts w:eastAsia="SimSun"/>
          <w:b/>
          <w:color w:val="000000"/>
          <w:lang w:val="en-CA" w:eastAsia="zh-CN"/>
        </w:rPr>
        <w:lastRenderedPageBreak/>
        <w:t xml:space="preserve">Annex IV </w:t>
      </w:r>
    </w:p>
    <w:p w14:paraId="5E010948" w14:textId="77777777" w:rsidR="000E78AF" w:rsidRPr="00664CC7" w:rsidRDefault="000E78AF" w:rsidP="00664CC7">
      <w:pPr>
        <w:widowControl w:val="0"/>
        <w:spacing w:after="240"/>
        <w:ind w:left="284"/>
        <w:jc w:val="center"/>
        <w:rPr>
          <w:rFonts w:eastAsia="SimSun"/>
          <w:b/>
          <w:color w:val="000000"/>
          <w:lang w:val="en-CA" w:eastAsia="zh-CN"/>
        </w:rPr>
      </w:pPr>
      <w:r w:rsidRPr="00664CC7">
        <w:rPr>
          <w:rFonts w:eastAsia="SimSun"/>
          <w:b/>
          <w:color w:val="000000"/>
          <w:lang w:val="en-CA" w:eastAsia="zh-CN"/>
        </w:rPr>
        <w:t>GENDER MAINSTREAMING CHECKLIST FOR PROJECTS</w:t>
      </w:r>
      <w:r w:rsidRPr="00664CC7">
        <w:rPr>
          <w:rFonts w:eastAsia="SimSun"/>
          <w:b/>
          <w:color w:val="000000"/>
          <w:vertAlign w:val="superscript"/>
          <w:lang w:val="en-CA" w:eastAsia="zh-CN"/>
        </w:rPr>
        <w:footnoteReference w:id="4"/>
      </w:r>
    </w:p>
    <w:tbl>
      <w:tblPr>
        <w:tblStyle w:val="TableGrid"/>
        <w:tblW w:w="9351" w:type="dxa"/>
        <w:jc w:val="center"/>
        <w:tblLayout w:type="fixed"/>
        <w:tblLook w:val="04A0" w:firstRow="1" w:lastRow="0" w:firstColumn="1" w:lastColumn="0" w:noHBand="0" w:noVBand="1"/>
      </w:tblPr>
      <w:tblGrid>
        <w:gridCol w:w="2689"/>
        <w:gridCol w:w="3899"/>
        <w:gridCol w:w="720"/>
        <w:gridCol w:w="630"/>
        <w:gridCol w:w="1413"/>
      </w:tblGrid>
      <w:tr w:rsidR="000E78AF" w:rsidRPr="00664CC7" w14:paraId="36D7B6F1" w14:textId="77777777" w:rsidTr="003F4572">
        <w:trPr>
          <w:trHeight w:val="170"/>
          <w:tblHeader/>
          <w:jc w:val="center"/>
        </w:trPr>
        <w:tc>
          <w:tcPr>
            <w:tcW w:w="2689" w:type="dxa"/>
          </w:tcPr>
          <w:p w14:paraId="68CE02FE" w14:textId="77777777" w:rsidR="000E78AF" w:rsidRPr="00664CC7" w:rsidRDefault="000E78AF" w:rsidP="00664CC7">
            <w:pPr>
              <w:jc w:val="center"/>
              <w:rPr>
                <w:rFonts w:eastAsia="SimSun"/>
                <w:b/>
                <w:lang w:val="en-CA" w:eastAsia="zh-CN"/>
              </w:rPr>
            </w:pPr>
            <w:r w:rsidRPr="00664CC7">
              <w:rPr>
                <w:rFonts w:eastAsia="SimSun"/>
                <w:b/>
                <w:lang w:val="en-CA" w:eastAsia="zh-CN"/>
              </w:rPr>
              <w:t>Project component</w:t>
            </w:r>
          </w:p>
        </w:tc>
        <w:tc>
          <w:tcPr>
            <w:tcW w:w="3899" w:type="dxa"/>
          </w:tcPr>
          <w:p w14:paraId="4255C36F" w14:textId="77777777" w:rsidR="000E78AF" w:rsidRPr="00664CC7" w:rsidRDefault="000E78AF" w:rsidP="00664CC7">
            <w:pPr>
              <w:jc w:val="center"/>
              <w:rPr>
                <w:rFonts w:eastAsia="SimSun"/>
                <w:b/>
                <w:lang w:val="en-CA" w:eastAsia="zh-CN"/>
              </w:rPr>
            </w:pPr>
            <w:r w:rsidRPr="00664CC7">
              <w:rPr>
                <w:rFonts w:eastAsia="SimSun"/>
                <w:b/>
                <w:lang w:val="en-CA" w:eastAsia="zh-CN"/>
              </w:rPr>
              <w:t>Question</w:t>
            </w:r>
          </w:p>
        </w:tc>
        <w:tc>
          <w:tcPr>
            <w:tcW w:w="2763" w:type="dxa"/>
            <w:gridSpan w:val="3"/>
          </w:tcPr>
          <w:p w14:paraId="6F374825" w14:textId="77777777" w:rsidR="000E78AF" w:rsidRPr="00664CC7" w:rsidRDefault="000E78AF" w:rsidP="00664CC7">
            <w:pPr>
              <w:jc w:val="center"/>
              <w:rPr>
                <w:rFonts w:eastAsia="SimSun"/>
                <w:b/>
                <w:lang w:val="en-CA" w:eastAsia="zh-CN"/>
              </w:rPr>
            </w:pPr>
            <w:r w:rsidRPr="00664CC7">
              <w:rPr>
                <w:rFonts w:eastAsia="SimSun"/>
                <w:b/>
                <w:lang w:val="en-CA" w:eastAsia="zh-CN"/>
              </w:rPr>
              <w:t>Answer</w:t>
            </w:r>
          </w:p>
        </w:tc>
      </w:tr>
      <w:tr w:rsidR="000E78AF" w:rsidRPr="00664CC7" w14:paraId="0989ED11" w14:textId="77777777" w:rsidTr="003F4572">
        <w:trPr>
          <w:trHeight w:val="233"/>
          <w:tblHeader/>
          <w:jc w:val="center"/>
        </w:trPr>
        <w:tc>
          <w:tcPr>
            <w:tcW w:w="2689" w:type="dxa"/>
          </w:tcPr>
          <w:p w14:paraId="0C920D00" w14:textId="77777777" w:rsidR="000E78AF" w:rsidRPr="00664CC7" w:rsidRDefault="000E78AF" w:rsidP="00664CC7">
            <w:pPr>
              <w:jc w:val="center"/>
              <w:rPr>
                <w:rFonts w:eastAsia="SimSun"/>
                <w:lang w:val="en-CA" w:eastAsia="zh-CN"/>
              </w:rPr>
            </w:pPr>
          </w:p>
        </w:tc>
        <w:tc>
          <w:tcPr>
            <w:tcW w:w="3899" w:type="dxa"/>
          </w:tcPr>
          <w:p w14:paraId="5A097D7C" w14:textId="77777777" w:rsidR="000E78AF" w:rsidRPr="00664CC7" w:rsidRDefault="000E78AF" w:rsidP="00664CC7">
            <w:pPr>
              <w:jc w:val="center"/>
              <w:rPr>
                <w:rFonts w:eastAsia="SimSun"/>
                <w:lang w:val="en-CA" w:eastAsia="zh-CN"/>
              </w:rPr>
            </w:pPr>
          </w:p>
        </w:tc>
        <w:tc>
          <w:tcPr>
            <w:tcW w:w="720" w:type="dxa"/>
          </w:tcPr>
          <w:p w14:paraId="391FD8A3" w14:textId="77777777" w:rsidR="000E78AF" w:rsidRPr="00664CC7" w:rsidRDefault="000E78AF" w:rsidP="00664CC7">
            <w:pPr>
              <w:jc w:val="center"/>
              <w:rPr>
                <w:rFonts w:eastAsia="SimSun"/>
                <w:lang w:val="en-CA" w:eastAsia="zh-CN"/>
              </w:rPr>
            </w:pPr>
            <w:r w:rsidRPr="00664CC7">
              <w:rPr>
                <w:rFonts w:eastAsia="SimSun"/>
                <w:lang w:val="en-CA" w:eastAsia="zh-CN"/>
              </w:rPr>
              <w:t>Yes</w:t>
            </w:r>
          </w:p>
        </w:tc>
        <w:tc>
          <w:tcPr>
            <w:tcW w:w="630" w:type="dxa"/>
          </w:tcPr>
          <w:p w14:paraId="15C6AFD9" w14:textId="77777777" w:rsidR="000E78AF" w:rsidRPr="00664CC7" w:rsidRDefault="000E78AF" w:rsidP="00664CC7">
            <w:pPr>
              <w:jc w:val="center"/>
              <w:rPr>
                <w:rFonts w:eastAsia="SimSun"/>
                <w:lang w:val="en-CA" w:eastAsia="zh-CN"/>
              </w:rPr>
            </w:pPr>
            <w:r w:rsidRPr="00664CC7">
              <w:rPr>
                <w:rFonts w:eastAsia="SimSun"/>
                <w:lang w:val="en-CA" w:eastAsia="zh-CN"/>
              </w:rPr>
              <w:t>No</w:t>
            </w:r>
          </w:p>
        </w:tc>
        <w:tc>
          <w:tcPr>
            <w:tcW w:w="1413" w:type="dxa"/>
          </w:tcPr>
          <w:p w14:paraId="0254C804" w14:textId="77777777" w:rsidR="000E78AF" w:rsidRPr="00664CC7" w:rsidRDefault="000E78AF" w:rsidP="00664CC7">
            <w:pPr>
              <w:jc w:val="center"/>
              <w:rPr>
                <w:rFonts w:eastAsia="SimSun"/>
                <w:lang w:val="en-CA" w:eastAsia="zh-CN"/>
              </w:rPr>
            </w:pPr>
            <w:r w:rsidRPr="00664CC7">
              <w:rPr>
                <w:rFonts w:eastAsia="SimSun"/>
                <w:lang w:val="en-CA" w:eastAsia="zh-CN"/>
              </w:rPr>
              <w:t>Partially</w:t>
            </w:r>
          </w:p>
        </w:tc>
      </w:tr>
      <w:tr w:rsidR="000E78AF" w:rsidRPr="00664CC7" w14:paraId="3D477BDE" w14:textId="77777777" w:rsidTr="003F4572">
        <w:trPr>
          <w:jc w:val="center"/>
        </w:trPr>
        <w:tc>
          <w:tcPr>
            <w:tcW w:w="2689" w:type="dxa"/>
            <w:vMerge w:val="restart"/>
          </w:tcPr>
          <w:p w14:paraId="0B584DB8" w14:textId="77777777" w:rsidR="000E78AF" w:rsidRPr="00664CC7" w:rsidRDefault="000E78AF" w:rsidP="00664CC7">
            <w:pPr>
              <w:rPr>
                <w:rFonts w:eastAsia="SimSun"/>
                <w:lang w:val="en-CA" w:eastAsia="zh-CN"/>
              </w:rPr>
            </w:pPr>
            <w:r w:rsidRPr="00664CC7">
              <w:rPr>
                <w:rFonts w:eastAsia="SimSun"/>
                <w:lang w:val="en-CA" w:eastAsia="zh-CN"/>
              </w:rPr>
              <w:t>Project preparation</w:t>
            </w:r>
          </w:p>
        </w:tc>
        <w:tc>
          <w:tcPr>
            <w:tcW w:w="3899" w:type="dxa"/>
          </w:tcPr>
          <w:p w14:paraId="55AA3A37" w14:textId="77777777" w:rsidR="000E78AF" w:rsidRPr="00664CC7" w:rsidRDefault="000E78AF" w:rsidP="00664CC7">
            <w:pPr>
              <w:rPr>
                <w:rFonts w:eastAsia="SimSun"/>
                <w:lang w:val="en-CA" w:eastAsia="zh-CN"/>
              </w:rPr>
            </w:pPr>
            <w:r w:rsidRPr="00664CC7">
              <w:rPr>
                <w:rFonts w:eastAsia="SimSun"/>
                <w:lang w:val="en-CA" w:eastAsia="zh-CN"/>
              </w:rPr>
              <w:t>Does the project concept include consideration of (a) the different situations of women and men, and (b) the impacts the project will have on these different societal groups?</w:t>
            </w:r>
          </w:p>
        </w:tc>
        <w:tc>
          <w:tcPr>
            <w:tcW w:w="720" w:type="dxa"/>
          </w:tcPr>
          <w:p w14:paraId="7E882B45" w14:textId="4324B5F5" w:rsidR="000E78AF" w:rsidRPr="00664CC7" w:rsidRDefault="000E78AF" w:rsidP="00664CC7">
            <w:pPr>
              <w:rPr>
                <w:rFonts w:eastAsia="SimSun"/>
                <w:lang w:val="en-CA" w:eastAsia="zh-CN"/>
              </w:rPr>
            </w:pPr>
          </w:p>
        </w:tc>
        <w:tc>
          <w:tcPr>
            <w:tcW w:w="630" w:type="dxa"/>
          </w:tcPr>
          <w:p w14:paraId="48F0E077" w14:textId="77777777" w:rsidR="000E78AF" w:rsidRPr="00664CC7" w:rsidRDefault="000E78AF" w:rsidP="00664CC7">
            <w:pPr>
              <w:rPr>
                <w:rFonts w:eastAsia="SimSun"/>
                <w:lang w:val="en-CA" w:eastAsia="zh-CN"/>
              </w:rPr>
            </w:pPr>
          </w:p>
        </w:tc>
        <w:tc>
          <w:tcPr>
            <w:tcW w:w="1413" w:type="dxa"/>
          </w:tcPr>
          <w:p w14:paraId="5BE00C5F" w14:textId="20606730" w:rsidR="000E78AF" w:rsidRPr="00664CC7" w:rsidRDefault="00EA7DE6" w:rsidP="00664CC7">
            <w:pPr>
              <w:rPr>
                <w:rFonts w:eastAsia="SimSun"/>
                <w:lang w:val="en-CA" w:eastAsia="zh-CN"/>
              </w:rPr>
            </w:pPr>
            <w:r w:rsidRPr="00664CC7">
              <w:rPr>
                <w:rFonts w:eastAsia="SimSun"/>
                <w:lang w:val="en-CA" w:eastAsia="zh-CN"/>
              </w:rPr>
              <w:t>x</w:t>
            </w:r>
          </w:p>
        </w:tc>
      </w:tr>
      <w:tr w:rsidR="000E78AF" w:rsidRPr="00664CC7" w14:paraId="326FD81E" w14:textId="77777777" w:rsidTr="003F4572">
        <w:trPr>
          <w:jc w:val="center"/>
        </w:trPr>
        <w:tc>
          <w:tcPr>
            <w:tcW w:w="2689" w:type="dxa"/>
            <w:vMerge/>
          </w:tcPr>
          <w:p w14:paraId="7A67C7F1" w14:textId="77777777" w:rsidR="000E78AF" w:rsidRPr="00664CC7" w:rsidRDefault="000E78AF" w:rsidP="00664CC7">
            <w:pPr>
              <w:rPr>
                <w:rFonts w:eastAsia="SimSun"/>
                <w:lang w:val="en-CA" w:eastAsia="zh-CN"/>
              </w:rPr>
            </w:pPr>
          </w:p>
        </w:tc>
        <w:tc>
          <w:tcPr>
            <w:tcW w:w="3899" w:type="dxa"/>
          </w:tcPr>
          <w:p w14:paraId="7A6E4FA6" w14:textId="77777777" w:rsidR="000E78AF" w:rsidRPr="00675735" w:rsidRDefault="000E78AF" w:rsidP="00664CC7">
            <w:pPr>
              <w:rPr>
                <w:rFonts w:eastAsia="SimSun"/>
                <w:lang w:val="en-CA" w:eastAsia="zh-CN"/>
              </w:rPr>
            </w:pPr>
            <w:r w:rsidRPr="00675735">
              <w:rPr>
                <w:rFonts w:eastAsia="SimSun"/>
                <w:lang w:val="en-CA" w:eastAsia="zh-CN"/>
              </w:rPr>
              <w:t>Does the project explicitly address one or more of the identified gender issues/ gender-differentiated project impacts? Please describe how, and if not provide an explanation.</w:t>
            </w:r>
          </w:p>
          <w:p w14:paraId="74F2911B" w14:textId="73ACE4F5" w:rsidR="000E78AF" w:rsidRPr="00664CC7" w:rsidRDefault="000E78AF" w:rsidP="00664CC7">
            <w:pPr>
              <w:rPr>
                <w:rFonts w:eastAsia="SimSun"/>
                <w:lang w:val="en-CA" w:eastAsia="zh-CN"/>
              </w:rPr>
            </w:pPr>
          </w:p>
        </w:tc>
        <w:tc>
          <w:tcPr>
            <w:tcW w:w="720" w:type="dxa"/>
          </w:tcPr>
          <w:p w14:paraId="18B5B81D" w14:textId="2B082CD6" w:rsidR="000E78AF" w:rsidRPr="00664CC7" w:rsidRDefault="000E78AF" w:rsidP="00664CC7">
            <w:pPr>
              <w:rPr>
                <w:rFonts w:eastAsia="SimSun"/>
                <w:lang w:val="en-CA" w:eastAsia="zh-CN"/>
              </w:rPr>
            </w:pPr>
          </w:p>
        </w:tc>
        <w:tc>
          <w:tcPr>
            <w:tcW w:w="630" w:type="dxa"/>
          </w:tcPr>
          <w:p w14:paraId="0E64FB64" w14:textId="0B6B3620" w:rsidR="000E78AF" w:rsidRPr="00664CC7" w:rsidRDefault="00675735" w:rsidP="00664CC7">
            <w:pPr>
              <w:rPr>
                <w:rFonts w:eastAsia="SimSun"/>
                <w:lang w:val="en-CA" w:eastAsia="zh-CN"/>
              </w:rPr>
            </w:pPr>
            <w:r>
              <w:rPr>
                <w:rFonts w:eastAsia="SimSun"/>
                <w:lang w:val="en-CA" w:eastAsia="zh-CN"/>
              </w:rPr>
              <w:t>x</w:t>
            </w:r>
          </w:p>
        </w:tc>
        <w:tc>
          <w:tcPr>
            <w:tcW w:w="1413" w:type="dxa"/>
          </w:tcPr>
          <w:p w14:paraId="530CF069" w14:textId="77777777" w:rsidR="000E78AF" w:rsidRPr="00664CC7" w:rsidRDefault="000E78AF" w:rsidP="00664CC7">
            <w:pPr>
              <w:rPr>
                <w:rFonts w:eastAsia="SimSun"/>
                <w:lang w:val="en-CA" w:eastAsia="zh-CN"/>
              </w:rPr>
            </w:pPr>
          </w:p>
        </w:tc>
      </w:tr>
      <w:tr w:rsidR="000E78AF" w:rsidRPr="00664CC7" w14:paraId="6F23C33B" w14:textId="77777777" w:rsidTr="003F4572">
        <w:trPr>
          <w:jc w:val="center"/>
        </w:trPr>
        <w:tc>
          <w:tcPr>
            <w:tcW w:w="2689" w:type="dxa"/>
          </w:tcPr>
          <w:p w14:paraId="07C2C6ED" w14:textId="77777777" w:rsidR="000E78AF" w:rsidRPr="00664CC7" w:rsidRDefault="000E78AF" w:rsidP="00664CC7">
            <w:pPr>
              <w:rPr>
                <w:rFonts w:eastAsia="SimSun"/>
                <w:lang w:val="en-CA" w:eastAsia="zh-CN"/>
              </w:rPr>
            </w:pPr>
            <w:r w:rsidRPr="00664CC7">
              <w:rPr>
                <w:rFonts w:eastAsia="SimSun"/>
                <w:lang w:val="en-CA" w:eastAsia="zh-CN"/>
              </w:rPr>
              <w:t>Data and statistics</w:t>
            </w:r>
          </w:p>
        </w:tc>
        <w:tc>
          <w:tcPr>
            <w:tcW w:w="3899" w:type="dxa"/>
          </w:tcPr>
          <w:p w14:paraId="56562546" w14:textId="77777777" w:rsidR="000E78AF" w:rsidRPr="00664CC7" w:rsidRDefault="000E78AF" w:rsidP="00664CC7">
            <w:pPr>
              <w:rPr>
                <w:rFonts w:eastAsia="SimSun"/>
                <w:lang w:val="en-CA" w:eastAsia="zh-CN"/>
              </w:rPr>
            </w:pPr>
            <w:r w:rsidRPr="00664CC7">
              <w:rPr>
                <w:rFonts w:eastAsia="SimSun"/>
                <w:lang w:val="en-CA" w:eastAsia="zh-CN"/>
              </w:rPr>
              <w:t xml:space="preserve">Where applicable, does the project require the collection of sex-disaggregated data and qualitative information to analyze and track gender issues? </w:t>
            </w:r>
          </w:p>
        </w:tc>
        <w:tc>
          <w:tcPr>
            <w:tcW w:w="720" w:type="dxa"/>
          </w:tcPr>
          <w:p w14:paraId="41E0CA97" w14:textId="42FD2CB5" w:rsidR="000E78AF" w:rsidRPr="00664CC7" w:rsidRDefault="00EA7DE6" w:rsidP="00664CC7">
            <w:pPr>
              <w:rPr>
                <w:rFonts w:eastAsia="SimSun"/>
                <w:lang w:val="en-CA" w:eastAsia="zh-CN"/>
              </w:rPr>
            </w:pPr>
            <w:r w:rsidRPr="00664CC7">
              <w:rPr>
                <w:rFonts w:eastAsia="SimSun"/>
                <w:lang w:val="en-CA" w:eastAsia="zh-CN"/>
              </w:rPr>
              <w:t>x</w:t>
            </w:r>
          </w:p>
        </w:tc>
        <w:tc>
          <w:tcPr>
            <w:tcW w:w="630" w:type="dxa"/>
          </w:tcPr>
          <w:p w14:paraId="67C8ECBA" w14:textId="77777777" w:rsidR="000E78AF" w:rsidRPr="00664CC7" w:rsidRDefault="000E78AF" w:rsidP="00664CC7">
            <w:pPr>
              <w:rPr>
                <w:rFonts w:eastAsia="SimSun"/>
                <w:lang w:val="en-CA" w:eastAsia="zh-CN"/>
              </w:rPr>
            </w:pPr>
          </w:p>
        </w:tc>
        <w:tc>
          <w:tcPr>
            <w:tcW w:w="1413" w:type="dxa"/>
          </w:tcPr>
          <w:p w14:paraId="222E8EAA" w14:textId="44C71CA5" w:rsidR="00EA7DE6" w:rsidRPr="00664CC7" w:rsidRDefault="00EA7DE6" w:rsidP="00664CC7">
            <w:pPr>
              <w:rPr>
                <w:rFonts w:eastAsia="SimSun"/>
                <w:lang w:val="en-CA" w:eastAsia="zh-CN"/>
              </w:rPr>
            </w:pPr>
          </w:p>
        </w:tc>
      </w:tr>
      <w:tr w:rsidR="000E78AF" w:rsidRPr="00664CC7" w14:paraId="605F87D7" w14:textId="77777777" w:rsidTr="003F4572">
        <w:trPr>
          <w:jc w:val="center"/>
        </w:trPr>
        <w:tc>
          <w:tcPr>
            <w:tcW w:w="2689" w:type="dxa"/>
            <w:vMerge w:val="restart"/>
          </w:tcPr>
          <w:p w14:paraId="4A05A678" w14:textId="77777777" w:rsidR="000E78AF" w:rsidRPr="00664CC7" w:rsidRDefault="000E78AF" w:rsidP="00664CC7">
            <w:pPr>
              <w:rPr>
                <w:rFonts w:eastAsia="SimSun"/>
                <w:lang w:val="en-CA" w:eastAsia="zh-CN"/>
              </w:rPr>
            </w:pPr>
            <w:r w:rsidRPr="00664CC7">
              <w:rPr>
                <w:rFonts w:eastAsia="SimSun"/>
                <w:lang w:val="en-CA" w:eastAsia="zh-CN"/>
              </w:rPr>
              <w:t>Results framework</w:t>
            </w:r>
          </w:p>
        </w:tc>
        <w:tc>
          <w:tcPr>
            <w:tcW w:w="3899" w:type="dxa"/>
          </w:tcPr>
          <w:p w14:paraId="55D02322" w14:textId="77777777" w:rsidR="000E78AF" w:rsidRPr="00664CC7" w:rsidRDefault="000E78AF" w:rsidP="00664CC7">
            <w:pPr>
              <w:rPr>
                <w:rFonts w:eastAsia="SimSun"/>
                <w:lang w:val="en-CA" w:eastAsia="zh-CN"/>
              </w:rPr>
            </w:pPr>
            <w:r w:rsidRPr="00664CC7">
              <w:rPr>
                <w:rFonts w:eastAsia="SimSun"/>
                <w:lang w:val="en-CA" w:eastAsia="zh-CN"/>
              </w:rPr>
              <w:t>Are outcomes, outputs and activities designed to meet the different needs and priorities of women and men?</w:t>
            </w:r>
          </w:p>
        </w:tc>
        <w:tc>
          <w:tcPr>
            <w:tcW w:w="720" w:type="dxa"/>
          </w:tcPr>
          <w:p w14:paraId="2CE0AB84" w14:textId="77777777" w:rsidR="000E78AF" w:rsidRPr="00664CC7" w:rsidRDefault="000E78AF" w:rsidP="00664CC7">
            <w:pPr>
              <w:rPr>
                <w:rFonts w:eastAsia="SimSun"/>
                <w:lang w:val="en-CA" w:eastAsia="zh-CN"/>
              </w:rPr>
            </w:pPr>
            <w:r w:rsidRPr="00664CC7">
              <w:rPr>
                <w:rFonts w:eastAsia="SimSun"/>
                <w:lang w:val="en-CA" w:eastAsia="zh-CN"/>
              </w:rPr>
              <w:t>x</w:t>
            </w:r>
          </w:p>
        </w:tc>
        <w:tc>
          <w:tcPr>
            <w:tcW w:w="630" w:type="dxa"/>
          </w:tcPr>
          <w:p w14:paraId="4220AA77" w14:textId="77777777" w:rsidR="000E78AF" w:rsidRPr="00664CC7" w:rsidRDefault="000E78AF" w:rsidP="00664CC7">
            <w:pPr>
              <w:rPr>
                <w:rFonts w:eastAsia="SimSun"/>
                <w:lang w:val="en-CA" w:eastAsia="zh-CN"/>
              </w:rPr>
            </w:pPr>
          </w:p>
        </w:tc>
        <w:tc>
          <w:tcPr>
            <w:tcW w:w="1413" w:type="dxa"/>
          </w:tcPr>
          <w:p w14:paraId="7A3863F4" w14:textId="77777777" w:rsidR="000E78AF" w:rsidRPr="00664CC7" w:rsidRDefault="000E78AF" w:rsidP="00664CC7">
            <w:pPr>
              <w:rPr>
                <w:rFonts w:eastAsia="SimSun"/>
                <w:lang w:val="en-CA" w:eastAsia="zh-CN"/>
              </w:rPr>
            </w:pPr>
          </w:p>
        </w:tc>
      </w:tr>
      <w:tr w:rsidR="000E78AF" w:rsidRPr="00664CC7" w14:paraId="2F250F3F" w14:textId="77777777" w:rsidTr="003F4572">
        <w:trPr>
          <w:jc w:val="center"/>
        </w:trPr>
        <w:tc>
          <w:tcPr>
            <w:tcW w:w="2689" w:type="dxa"/>
            <w:vMerge/>
          </w:tcPr>
          <w:p w14:paraId="4BEB3B37" w14:textId="77777777" w:rsidR="000E78AF" w:rsidRPr="00664CC7" w:rsidRDefault="000E78AF" w:rsidP="00664CC7">
            <w:pPr>
              <w:rPr>
                <w:rFonts w:eastAsia="SimSun"/>
                <w:lang w:val="en-CA" w:eastAsia="zh-CN"/>
              </w:rPr>
            </w:pPr>
          </w:p>
        </w:tc>
        <w:tc>
          <w:tcPr>
            <w:tcW w:w="3899" w:type="dxa"/>
          </w:tcPr>
          <w:p w14:paraId="1A4B8D57" w14:textId="77777777" w:rsidR="000E78AF" w:rsidRPr="00664CC7" w:rsidRDefault="000E78AF" w:rsidP="00664CC7">
            <w:pPr>
              <w:rPr>
                <w:rFonts w:eastAsia="SimSun"/>
                <w:lang w:val="en-CA" w:eastAsia="zh-CN"/>
              </w:rPr>
            </w:pPr>
            <w:r w:rsidRPr="00664CC7">
              <w:rPr>
                <w:rFonts w:eastAsia="SimSun"/>
                <w:lang w:val="en-CA" w:eastAsia="zh-CN"/>
              </w:rPr>
              <w:t>Does the results framework include gender responsive indicators, targets and baseline data to monitor gender equality results?</w:t>
            </w:r>
          </w:p>
        </w:tc>
        <w:tc>
          <w:tcPr>
            <w:tcW w:w="720" w:type="dxa"/>
          </w:tcPr>
          <w:p w14:paraId="5F7A0CB5" w14:textId="77777777" w:rsidR="000E78AF" w:rsidRPr="00664CC7" w:rsidRDefault="000E78AF" w:rsidP="00664CC7">
            <w:pPr>
              <w:rPr>
                <w:rFonts w:eastAsia="SimSun"/>
                <w:lang w:val="en-CA" w:eastAsia="zh-CN"/>
              </w:rPr>
            </w:pPr>
          </w:p>
        </w:tc>
        <w:tc>
          <w:tcPr>
            <w:tcW w:w="630" w:type="dxa"/>
          </w:tcPr>
          <w:p w14:paraId="68466E3E" w14:textId="77777777" w:rsidR="000E78AF" w:rsidRPr="00664CC7" w:rsidRDefault="000E78AF" w:rsidP="00664CC7">
            <w:pPr>
              <w:rPr>
                <w:rFonts w:eastAsia="SimSun"/>
                <w:lang w:val="en-CA" w:eastAsia="zh-CN"/>
              </w:rPr>
            </w:pPr>
          </w:p>
        </w:tc>
        <w:tc>
          <w:tcPr>
            <w:tcW w:w="1413" w:type="dxa"/>
          </w:tcPr>
          <w:p w14:paraId="71002F57" w14:textId="77777777" w:rsidR="000E78AF" w:rsidRPr="00664CC7" w:rsidRDefault="000E78AF" w:rsidP="00664CC7">
            <w:pPr>
              <w:rPr>
                <w:rFonts w:eastAsia="SimSun"/>
                <w:lang w:val="en-CA" w:eastAsia="zh-CN"/>
              </w:rPr>
            </w:pPr>
            <w:r w:rsidRPr="00664CC7">
              <w:rPr>
                <w:rFonts w:eastAsia="SimSun"/>
                <w:lang w:val="en-CA" w:eastAsia="zh-CN"/>
              </w:rPr>
              <w:t>x</w:t>
            </w:r>
          </w:p>
        </w:tc>
      </w:tr>
      <w:tr w:rsidR="000E78AF" w:rsidRPr="00664CC7" w14:paraId="6486B251" w14:textId="77777777" w:rsidTr="003F4572">
        <w:trPr>
          <w:jc w:val="center"/>
        </w:trPr>
        <w:tc>
          <w:tcPr>
            <w:tcW w:w="2689" w:type="dxa"/>
          </w:tcPr>
          <w:p w14:paraId="3BC6BA6E" w14:textId="77777777" w:rsidR="000E78AF" w:rsidRPr="00664CC7" w:rsidRDefault="000E78AF" w:rsidP="00664CC7">
            <w:pPr>
              <w:rPr>
                <w:rFonts w:eastAsia="SimSun"/>
                <w:lang w:val="en-CA" w:eastAsia="zh-CN"/>
              </w:rPr>
            </w:pPr>
            <w:r w:rsidRPr="00664CC7">
              <w:rPr>
                <w:rFonts w:eastAsia="SimSun"/>
                <w:lang w:val="en-CA" w:eastAsia="zh-CN"/>
              </w:rPr>
              <w:t>Budget</w:t>
            </w:r>
          </w:p>
        </w:tc>
        <w:tc>
          <w:tcPr>
            <w:tcW w:w="3899" w:type="dxa"/>
          </w:tcPr>
          <w:p w14:paraId="51EADFEF" w14:textId="77777777" w:rsidR="000E78AF" w:rsidRPr="00664CC7" w:rsidRDefault="000E78AF" w:rsidP="00664CC7">
            <w:pPr>
              <w:rPr>
                <w:rFonts w:eastAsia="SimSun"/>
                <w:lang w:val="en-CA" w:eastAsia="zh-CN"/>
              </w:rPr>
            </w:pPr>
            <w:r w:rsidRPr="00664CC7">
              <w:rPr>
                <w:rFonts w:eastAsia="SimSun"/>
                <w:lang w:val="en-CA" w:eastAsia="zh-CN"/>
              </w:rPr>
              <w:t xml:space="preserve">Has the budget </w:t>
            </w:r>
            <w:proofErr w:type="gramStart"/>
            <w:r w:rsidRPr="00664CC7">
              <w:rPr>
                <w:rFonts w:eastAsia="SimSun"/>
                <w:lang w:val="en-CA" w:eastAsia="zh-CN"/>
              </w:rPr>
              <w:t>taken into account</w:t>
            </w:r>
            <w:proofErr w:type="gramEnd"/>
            <w:r w:rsidRPr="00664CC7">
              <w:rPr>
                <w:rFonts w:eastAsia="SimSun"/>
                <w:lang w:val="en-CA" w:eastAsia="zh-CN"/>
              </w:rPr>
              <w:t xml:space="preserve"> allocations for the proposed gender activities (e.g., capacity building activities for female technicians)? </w:t>
            </w:r>
          </w:p>
        </w:tc>
        <w:tc>
          <w:tcPr>
            <w:tcW w:w="720" w:type="dxa"/>
          </w:tcPr>
          <w:p w14:paraId="3A9DA2B9" w14:textId="77777777" w:rsidR="000E78AF" w:rsidRPr="00664CC7" w:rsidRDefault="000E78AF" w:rsidP="00664CC7">
            <w:pPr>
              <w:rPr>
                <w:rFonts w:eastAsia="SimSun"/>
                <w:lang w:val="en-CA" w:eastAsia="zh-CN"/>
              </w:rPr>
            </w:pPr>
            <w:r w:rsidRPr="00664CC7">
              <w:rPr>
                <w:rFonts w:eastAsia="SimSun"/>
                <w:lang w:val="en-CA" w:eastAsia="zh-CN"/>
              </w:rPr>
              <w:t>x</w:t>
            </w:r>
          </w:p>
        </w:tc>
        <w:tc>
          <w:tcPr>
            <w:tcW w:w="630" w:type="dxa"/>
          </w:tcPr>
          <w:p w14:paraId="4C787750" w14:textId="77777777" w:rsidR="000E78AF" w:rsidRPr="00664CC7" w:rsidRDefault="000E78AF" w:rsidP="00664CC7">
            <w:pPr>
              <w:rPr>
                <w:rFonts w:eastAsia="SimSun"/>
                <w:lang w:val="en-CA" w:eastAsia="zh-CN"/>
              </w:rPr>
            </w:pPr>
          </w:p>
        </w:tc>
        <w:tc>
          <w:tcPr>
            <w:tcW w:w="1413" w:type="dxa"/>
          </w:tcPr>
          <w:p w14:paraId="44860550" w14:textId="77777777" w:rsidR="000E78AF" w:rsidRPr="00664CC7" w:rsidRDefault="000E78AF" w:rsidP="00664CC7">
            <w:pPr>
              <w:rPr>
                <w:rFonts w:eastAsia="SimSun"/>
                <w:lang w:val="en-CA" w:eastAsia="zh-CN"/>
              </w:rPr>
            </w:pPr>
          </w:p>
        </w:tc>
      </w:tr>
      <w:tr w:rsidR="000E78AF" w:rsidRPr="00664CC7" w14:paraId="08AC8A48" w14:textId="77777777" w:rsidTr="003F4572">
        <w:trPr>
          <w:jc w:val="center"/>
        </w:trPr>
        <w:tc>
          <w:tcPr>
            <w:tcW w:w="2689" w:type="dxa"/>
            <w:vMerge w:val="restart"/>
          </w:tcPr>
          <w:p w14:paraId="1E73A89E" w14:textId="77777777" w:rsidR="000E78AF" w:rsidRPr="00664CC7" w:rsidRDefault="000E78AF" w:rsidP="00664CC7">
            <w:pPr>
              <w:jc w:val="left"/>
              <w:rPr>
                <w:rFonts w:eastAsia="SimSun"/>
                <w:lang w:val="en-CA" w:eastAsia="zh-CN"/>
              </w:rPr>
            </w:pPr>
            <w:r w:rsidRPr="00664CC7">
              <w:rPr>
                <w:rFonts w:eastAsia="SimSun"/>
                <w:lang w:val="en-CA" w:eastAsia="zh-CN"/>
              </w:rPr>
              <w:t>Stakeholders and participation</w:t>
            </w:r>
          </w:p>
        </w:tc>
        <w:tc>
          <w:tcPr>
            <w:tcW w:w="3899" w:type="dxa"/>
          </w:tcPr>
          <w:p w14:paraId="56186B0C" w14:textId="77777777" w:rsidR="000E78AF" w:rsidRPr="00664CC7" w:rsidRDefault="000E78AF" w:rsidP="00664CC7">
            <w:pPr>
              <w:rPr>
                <w:rFonts w:eastAsia="SimSun"/>
                <w:lang w:val="en-CA" w:eastAsia="zh-CN"/>
              </w:rPr>
            </w:pPr>
            <w:r w:rsidRPr="00664CC7">
              <w:rPr>
                <w:rFonts w:eastAsia="SimSun"/>
                <w:lang w:val="en-CA" w:eastAsia="zh-CN"/>
              </w:rPr>
              <w:t>Are women/gender-focused Ministries, groups, associations or gender units in partner organizations consulted/included in the project?</w:t>
            </w:r>
          </w:p>
        </w:tc>
        <w:tc>
          <w:tcPr>
            <w:tcW w:w="720" w:type="dxa"/>
          </w:tcPr>
          <w:p w14:paraId="01CF874D" w14:textId="71009F7D" w:rsidR="000E78AF" w:rsidRPr="00664CC7" w:rsidRDefault="000E78AF" w:rsidP="00664CC7">
            <w:pPr>
              <w:rPr>
                <w:rFonts w:eastAsia="SimSun"/>
                <w:lang w:val="en-CA" w:eastAsia="zh-CN"/>
              </w:rPr>
            </w:pPr>
          </w:p>
        </w:tc>
        <w:tc>
          <w:tcPr>
            <w:tcW w:w="630" w:type="dxa"/>
          </w:tcPr>
          <w:p w14:paraId="11864395" w14:textId="05AC9435" w:rsidR="000E78AF" w:rsidRPr="00664CC7" w:rsidRDefault="00EA7DE6" w:rsidP="00664CC7">
            <w:pPr>
              <w:rPr>
                <w:rFonts w:eastAsia="SimSun"/>
                <w:lang w:val="en-CA" w:eastAsia="zh-CN"/>
              </w:rPr>
            </w:pPr>
            <w:r w:rsidRPr="00664CC7">
              <w:rPr>
                <w:rFonts w:eastAsia="SimSun"/>
                <w:lang w:val="en-CA" w:eastAsia="zh-CN"/>
              </w:rPr>
              <w:t>x</w:t>
            </w:r>
          </w:p>
        </w:tc>
        <w:tc>
          <w:tcPr>
            <w:tcW w:w="1413" w:type="dxa"/>
          </w:tcPr>
          <w:p w14:paraId="66DB5DDB" w14:textId="77777777" w:rsidR="000E78AF" w:rsidRPr="00664CC7" w:rsidRDefault="000E78AF" w:rsidP="00664CC7">
            <w:pPr>
              <w:rPr>
                <w:rFonts w:eastAsia="SimSun"/>
                <w:lang w:val="en-CA" w:eastAsia="zh-CN"/>
              </w:rPr>
            </w:pPr>
          </w:p>
        </w:tc>
      </w:tr>
      <w:tr w:rsidR="000E78AF" w:rsidRPr="00664CC7" w14:paraId="47E67375" w14:textId="77777777" w:rsidTr="003F4572">
        <w:trPr>
          <w:jc w:val="center"/>
        </w:trPr>
        <w:tc>
          <w:tcPr>
            <w:tcW w:w="2689" w:type="dxa"/>
            <w:vMerge/>
          </w:tcPr>
          <w:p w14:paraId="5E4198F6" w14:textId="77777777" w:rsidR="000E78AF" w:rsidRPr="00664CC7" w:rsidRDefault="000E78AF" w:rsidP="00664CC7">
            <w:pPr>
              <w:rPr>
                <w:rFonts w:eastAsia="SimSun"/>
                <w:lang w:val="en-CA" w:eastAsia="zh-CN"/>
              </w:rPr>
            </w:pPr>
          </w:p>
        </w:tc>
        <w:tc>
          <w:tcPr>
            <w:tcW w:w="3899" w:type="dxa"/>
          </w:tcPr>
          <w:p w14:paraId="15960709" w14:textId="77777777" w:rsidR="000E78AF" w:rsidRPr="00664CC7" w:rsidRDefault="000E78AF" w:rsidP="00664CC7">
            <w:pPr>
              <w:rPr>
                <w:rFonts w:eastAsia="SimSun"/>
                <w:lang w:val="en-CA" w:eastAsia="zh-CN"/>
              </w:rPr>
            </w:pPr>
            <w:r w:rsidRPr="00664CC7">
              <w:rPr>
                <w:rFonts w:eastAsia="SimSun"/>
                <w:lang w:val="en-CA" w:eastAsia="zh-CN"/>
              </w:rPr>
              <w:t>Does the project ensure that both women and men can provide inputs, access and participate in project activities (e.g., through outreach / invitations of female technicians to participate in capacity building activities)?</w:t>
            </w:r>
          </w:p>
        </w:tc>
        <w:tc>
          <w:tcPr>
            <w:tcW w:w="720" w:type="dxa"/>
          </w:tcPr>
          <w:p w14:paraId="3798ACCD" w14:textId="77777777" w:rsidR="000E78AF" w:rsidRPr="00664CC7" w:rsidRDefault="000E78AF" w:rsidP="00664CC7">
            <w:pPr>
              <w:rPr>
                <w:rFonts w:eastAsia="SimSun"/>
                <w:lang w:val="en-CA" w:eastAsia="zh-CN"/>
              </w:rPr>
            </w:pPr>
            <w:r w:rsidRPr="00664CC7">
              <w:rPr>
                <w:rFonts w:eastAsia="SimSun"/>
                <w:lang w:val="en-CA" w:eastAsia="zh-CN"/>
              </w:rPr>
              <w:t>x</w:t>
            </w:r>
          </w:p>
        </w:tc>
        <w:tc>
          <w:tcPr>
            <w:tcW w:w="630" w:type="dxa"/>
          </w:tcPr>
          <w:p w14:paraId="772A07B7" w14:textId="77777777" w:rsidR="000E78AF" w:rsidRPr="00664CC7" w:rsidRDefault="000E78AF" w:rsidP="00664CC7">
            <w:pPr>
              <w:rPr>
                <w:rFonts w:eastAsia="SimSun"/>
                <w:lang w:val="en-CA" w:eastAsia="zh-CN"/>
              </w:rPr>
            </w:pPr>
          </w:p>
        </w:tc>
        <w:tc>
          <w:tcPr>
            <w:tcW w:w="1413" w:type="dxa"/>
          </w:tcPr>
          <w:p w14:paraId="2276F01E" w14:textId="77777777" w:rsidR="000E78AF" w:rsidRPr="00664CC7" w:rsidRDefault="000E78AF" w:rsidP="00664CC7">
            <w:pPr>
              <w:rPr>
                <w:rFonts w:eastAsia="SimSun"/>
                <w:lang w:val="en-CA" w:eastAsia="zh-CN"/>
              </w:rPr>
            </w:pPr>
          </w:p>
        </w:tc>
      </w:tr>
      <w:tr w:rsidR="000E78AF" w:rsidRPr="00664CC7" w14:paraId="1EE8170B" w14:textId="77777777" w:rsidTr="003F4572">
        <w:trPr>
          <w:jc w:val="center"/>
        </w:trPr>
        <w:tc>
          <w:tcPr>
            <w:tcW w:w="2689" w:type="dxa"/>
            <w:vMerge w:val="restart"/>
          </w:tcPr>
          <w:p w14:paraId="6EE8310F" w14:textId="77777777" w:rsidR="000E78AF" w:rsidRPr="00664CC7" w:rsidRDefault="000E78AF" w:rsidP="00664CC7">
            <w:pPr>
              <w:rPr>
                <w:rFonts w:eastAsia="SimSun"/>
                <w:lang w:val="en-CA" w:eastAsia="zh-CN"/>
              </w:rPr>
            </w:pPr>
            <w:r w:rsidRPr="00664CC7">
              <w:rPr>
                <w:rFonts w:eastAsia="SimSun"/>
                <w:lang w:val="en-CA" w:eastAsia="zh-CN"/>
              </w:rPr>
              <w:t>Gender capacities</w:t>
            </w:r>
          </w:p>
        </w:tc>
        <w:tc>
          <w:tcPr>
            <w:tcW w:w="3899" w:type="dxa"/>
          </w:tcPr>
          <w:p w14:paraId="5CAEF952" w14:textId="77777777" w:rsidR="000E78AF" w:rsidRPr="00664CC7" w:rsidRDefault="000E78AF" w:rsidP="00664CC7">
            <w:pPr>
              <w:rPr>
                <w:rFonts w:eastAsia="SimSun"/>
                <w:lang w:val="en-CA" w:eastAsia="zh-CN"/>
              </w:rPr>
            </w:pPr>
            <w:r w:rsidRPr="00664CC7">
              <w:rPr>
                <w:rFonts w:eastAsia="SimSun"/>
                <w:lang w:val="en-CA" w:eastAsia="zh-CN"/>
              </w:rPr>
              <w:t>Has a gender expert been recruited or does the project staff have gender knowledge and have gender related tasks incorporated in their job descriptions?</w:t>
            </w:r>
          </w:p>
        </w:tc>
        <w:tc>
          <w:tcPr>
            <w:tcW w:w="720" w:type="dxa"/>
          </w:tcPr>
          <w:p w14:paraId="3F9F95C8" w14:textId="77777777" w:rsidR="000E78AF" w:rsidRPr="00664CC7" w:rsidRDefault="000E78AF" w:rsidP="00664CC7">
            <w:pPr>
              <w:rPr>
                <w:rFonts w:eastAsia="SimSun"/>
                <w:lang w:val="en-CA" w:eastAsia="zh-CN"/>
              </w:rPr>
            </w:pPr>
            <w:r w:rsidRPr="00664CC7">
              <w:rPr>
                <w:rFonts w:eastAsia="SimSun"/>
                <w:lang w:val="en-CA" w:eastAsia="zh-CN"/>
              </w:rPr>
              <w:t>x</w:t>
            </w:r>
          </w:p>
        </w:tc>
        <w:tc>
          <w:tcPr>
            <w:tcW w:w="630" w:type="dxa"/>
          </w:tcPr>
          <w:p w14:paraId="6841EF13" w14:textId="77777777" w:rsidR="000E78AF" w:rsidRPr="00664CC7" w:rsidRDefault="000E78AF" w:rsidP="00664CC7">
            <w:pPr>
              <w:rPr>
                <w:rFonts w:eastAsia="SimSun"/>
                <w:lang w:val="en-CA" w:eastAsia="zh-CN"/>
              </w:rPr>
            </w:pPr>
          </w:p>
        </w:tc>
        <w:tc>
          <w:tcPr>
            <w:tcW w:w="1413" w:type="dxa"/>
          </w:tcPr>
          <w:p w14:paraId="447D8870" w14:textId="77777777" w:rsidR="000E78AF" w:rsidRPr="00664CC7" w:rsidRDefault="000E78AF" w:rsidP="00664CC7">
            <w:pPr>
              <w:rPr>
                <w:rFonts w:eastAsia="SimSun"/>
                <w:lang w:val="en-CA" w:eastAsia="zh-CN"/>
              </w:rPr>
            </w:pPr>
          </w:p>
        </w:tc>
      </w:tr>
      <w:tr w:rsidR="000E78AF" w:rsidRPr="00664CC7" w14:paraId="0FB6193A" w14:textId="77777777" w:rsidTr="003F4572">
        <w:trPr>
          <w:jc w:val="center"/>
        </w:trPr>
        <w:tc>
          <w:tcPr>
            <w:tcW w:w="2689" w:type="dxa"/>
            <w:vMerge/>
          </w:tcPr>
          <w:p w14:paraId="48C8B91E" w14:textId="77777777" w:rsidR="000E78AF" w:rsidRPr="00664CC7" w:rsidRDefault="000E78AF" w:rsidP="00664CC7">
            <w:pPr>
              <w:rPr>
                <w:rFonts w:eastAsia="SimSun"/>
                <w:lang w:val="en-CA" w:eastAsia="zh-CN"/>
              </w:rPr>
            </w:pPr>
          </w:p>
        </w:tc>
        <w:tc>
          <w:tcPr>
            <w:tcW w:w="3899" w:type="dxa"/>
          </w:tcPr>
          <w:p w14:paraId="57728F9C" w14:textId="77777777" w:rsidR="000E78AF" w:rsidRPr="00664CC7" w:rsidRDefault="000E78AF" w:rsidP="00664CC7">
            <w:pPr>
              <w:rPr>
                <w:rFonts w:eastAsia="SimSun"/>
                <w:lang w:val="en-CA" w:eastAsia="zh-CN"/>
              </w:rPr>
            </w:pPr>
            <w:r w:rsidRPr="00664CC7">
              <w:rPr>
                <w:rFonts w:eastAsia="SimSun"/>
                <w:lang w:val="en-CA" w:eastAsia="zh-CN"/>
              </w:rPr>
              <w:t xml:space="preserve">Will project staff and stakeholders be sensitized to gender (e.g., through </w:t>
            </w:r>
            <w:r w:rsidRPr="00664CC7">
              <w:rPr>
                <w:rFonts w:eastAsia="SimSun"/>
                <w:lang w:val="en-CA" w:eastAsia="zh-CN"/>
              </w:rPr>
              <w:lastRenderedPageBreak/>
              <w:t>completion of UN Women online training courses)?</w:t>
            </w:r>
          </w:p>
        </w:tc>
        <w:tc>
          <w:tcPr>
            <w:tcW w:w="720" w:type="dxa"/>
          </w:tcPr>
          <w:p w14:paraId="60FC3A19" w14:textId="77777777" w:rsidR="000E78AF" w:rsidRPr="00664CC7" w:rsidRDefault="000E78AF" w:rsidP="00664CC7">
            <w:pPr>
              <w:rPr>
                <w:rFonts w:eastAsia="SimSun"/>
                <w:lang w:val="en-CA" w:eastAsia="zh-CN"/>
              </w:rPr>
            </w:pPr>
            <w:r w:rsidRPr="00664CC7">
              <w:rPr>
                <w:rFonts w:eastAsia="SimSun"/>
                <w:lang w:val="en-CA" w:eastAsia="zh-CN"/>
              </w:rPr>
              <w:lastRenderedPageBreak/>
              <w:t>x</w:t>
            </w:r>
          </w:p>
        </w:tc>
        <w:tc>
          <w:tcPr>
            <w:tcW w:w="630" w:type="dxa"/>
          </w:tcPr>
          <w:p w14:paraId="474DB689" w14:textId="77777777" w:rsidR="000E78AF" w:rsidRPr="00664CC7" w:rsidRDefault="000E78AF" w:rsidP="00664CC7">
            <w:pPr>
              <w:rPr>
                <w:rFonts w:eastAsia="SimSun"/>
                <w:lang w:val="en-CA" w:eastAsia="zh-CN"/>
              </w:rPr>
            </w:pPr>
          </w:p>
        </w:tc>
        <w:tc>
          <w:tcPr>
            <w:tcW w:w="1413" w:type="dxa"/>
          </w:tcPr>
          <w:p w14:paraId="0B607D5D" w14:textId="77777777" w:rsidR="000E78AF" w:rsidRPr="00664CC7" w:rsidRDefault="000E78AF" w:rsidP="00664CC7">
            <w:pPr>
              <w:rPr>
                <w:rFonts w:eastAsia="SimSun"/>
                <w:lang w:val="en-CA" w:eastAsia="zh-CN"/>
              </w:rPr>
            </w:pPr>
          </w:p>
        </w:tc>
      </w:tr>
      <w:tr w:rsidR="000E78AF" w:rsidRPr="00664CC7" w14:paraId="0E658583" w14:textId="77777777" w:rsidTr="003F4572">
        <w:trPr>
          <w:jc w:val="center"/>
        </w:trPr>
        <w:tc>
          <w:tcPr>
            <w:tcW w:w="2689" w:type="dxa"/>
          </w:tcPr>
          <w:p w14:paraId="57F281A3" w14:textId="77777777" w:rsidR="000E78AF" w:rsidRPr="00664CC7" w:rsidRDefault="000E78AF" w:rsidP="00664CC7">
            <w:pPr>
              <w:rPr>
                <w:rFonts w:eastAsia="SimSun"/>
                <w:lang w:val="en-CA" w:eastAsia="zh-CN"/>
              </w:rPr>
            </w:pPr>
            <w:r w:rsidRPr="00664CC7">
              <w:rPr>
                <w:rFonts w:eastAsia="SimSun"/>
                <w:lang w:val="en-CA" w:eastAsia="zh-CN"/>
              </w:rPr>
              <w:t>Implementation arrangement</w:t>
            </w:r>
          </w:p>
        </w:tc>
        <w:tc>
          <w:tcPr>
            <w:tcW w:w="3899" w:type="dxa"/>
          </w:tcPr>
          <w:p w14:paraId="0D643391" w14:textId="77777777" w:rsidR="000E78AF" w:rsidRPr="00664CC7" w:rsidRDefault="000E78AF" w:rsidP="00664CC7">
            <w:pPr>
              <w:rPr>
                <w:rFonts w:eastAsia="SimSun"/>
                <w:lang w:val="en-CA" w:eastAsia="zh-CN"/>
              </w:rPr>
            </w:pPr>
            <w:r w:rsidRPr="00664CC7">
              <w:rPr>
                <w:rFonts w:eastAsia="SimSun"/>
                <w:lang w:val="en-CA" w:eastAsia="zh-CN"/>
              </w:rPr>
              <w:t>Is there gender-balanced recruitment of project personnel and gender balanced representation in project boards and steering committees?</w:t>
            </w:r>
          </w:p>
        </w:tc>
        <w:tc>
          <w:tcPr>
            <w:tcW w:w="720" w:type="dxa"/>
          </w:tcPr>
          <w:p w14:paraId="581B03FC" w14:textId="77777777" w:rsidR="000E78AF" w:rsidRPr="00664CC7" w:rsidRDefault="000E78AF" w:rsidP="00664CC7">
            <w:pPr>
              <w:rPr>
                <w:rFonts w:eastAsia="SimSun"/>
                <w:lang w:val="en-CA" w:eastAsia="zh-CN"/>
              </w:rPr>
            </w:pPr>
            <w:r w:rsidRPr="00664CC7">
              <w:rPr>
                <w:rFonts w:eastAsia="SimSun"/>
                <w:lang w:val="en-CA" w:eastAsia="zh-CN"/>
              </w:rPr>
              <w:t>x</w:t>
            </w:r>
          </w:p>
        </w:tc>
        <w:tc>
          <w:tcPr>
            <w:tcW w:w="630" w:type="dxa"/>
          </w:tcPr>
          <w:p w14:paraId="1F74D13C" w14:textId="77777777" w:rsidR="000E78AF" w:rsidRPr="00664CC7" w:rsidRDefault="000E78AF" w:rsidP="00664CC7">
            <w:pPr>
              <w:rPr>
                <w:rFonts w:eastAsia="SimSun"/>
                <w:lang w:val="en-CA" w:eastAsia="zh-CN"/>
              </w:rPr>
            </w:pPr>
          </w:p>
        </w:tc>
        <w:tc>
          <w:tcPr>
            <w:tcW w:w="1413" w:type="dxa"/>
          </w:tcPr>
          <w:p w14:paraId="5F8BB9D8" w14:textId="77777777" w:rsidR="000E78AF" w:rsidRPr="00664CC7" w:rsidRDefault="000E78AF" w:rsidP="00664CC7">
            <w:pPr>
              <w:rPr>
                <w:rFonts w:eastAsia="SimSun"/>
                <w:lang w:val="en-CA" w:eastAsia="zh-CN"/>
              </w:rPr>
            </w:pPr>
          </w:p>
        </w:tc>
      </w:tr>
      <w:tr w:rsidR="000E78AF" w:rsidRPr="00664CC7" w14:paraId="05C456DB" w14:textId="77777777" w:rsidTr="003F4572">
        <w:trPr>
          <w:jc w:val="center"/>
        </w:trPr>
        <w:tc>
          <w:tcPr>
            <w:tcW w:w="2689" w:type="dxa"/>
          </w:tcPr>
          <w:p w14:paraId="67BFB799" w14:textId="77777777" w:rsidR="000E78AF" w:rsidRPr="00664CC7" w:rsidRDefault="000E78AF" w:rsidP="00664CC7">
            <w:pPr>
              <w:keepNext/>
              <w:keepLines/>
              <w:rPr>
                <w:rFonts w:eastAsia="SimSun"/>
                <w:lang w:val="en-CA" w:eastAsia="zh-CN"/>
              </w:rPr>
            </w:pPr>
            <w:r w:rsidRPr="00664CC7">
              <w:rPr>
                <w:rFonts w:eastAsia="SimSun"/>
                <w:lang w:val="en-CA" w:eastAsia="zh-CN"/>
              </w:rPr>
              <w:t>Monitoring and evaluation</w:t>
            </w:r>
          </w:p>
        </w:tc>
        <w:tc>
          <w:tcPr>
            <w:tcW w:w="3899" w:type="dxa"/>
          </w:tcPr>
          <w:p w14:paraId="40F34D96" w14:textId="77777777" w:rsidR="000E78AF" w:rsidRPr="00664CC7" w:rsidRDefault="000E78AF" w:rsidP="00664CC7">
            <w:pPr>
              <w:keepNext/>
              <w:keepLines/>
              <w:rPr>
                <w:rFonts w:eastAsia="SimSun"/>
                <w:lang w:val="en-CA" w:eastAsia="zh-CN"/>
              </w:rPr>
            </w:pPr>
            <w:r w:rsidRPr="00664CC7">
              <w:rPr>
                <w:rFonts w:eastAsia="SimSun"/>
                <w:lang w:val="en-CA" w:eastAsia="zh-CN"/>
              </w:rPr>
              <w:t>Does the monitoring and evaluation of the project require specific reporting on gender issues and progress made to address these (quantitatively and qualitatively)?</w:t>
            </w:r>
          </w:p>
        </w:tc>
        <w:tc>
          <w:tcPr>
            <w:tcW w:w="720" w:type="dxa"/>
          </w:tcPr>
          <w:p w14:paraId="50F447A3" w14:textId="77777777" w:rsidR="000E78AF" w:rsidRPr="00664CC7" w:rsidRDefault="000E78AF" w:rsidP="00664CC7">
            <w:pPr>
              <w:keepNext/>
              <w:keepLines/>
              <w:rPr>
                <w:rFonts w:eastAsia="SimSun"/>
                <w:lang w:val="en-CA" w:eastAsia="zh-CN"/>
              </w:rPr>
            </w:pPr>
          </w:p>
        </w:tc>
        <w:tc>
          <w:tcPr>
            <w:tcW w:w="630" w:type="dxa"/>
          </w:tcPr>
          <w:p w14:paraId="466D1161" w14:textId="77777777" w:rsidR="000E78AF" w:rsidRPr="00664CC7" w:rsidRDefault="000E78AF" w:rsidP="00664CC7">
            <w:pPr>
              <w:keepNext/>
              <w:keepLines/>
              <w:rPr>
                <w:rFonts w:eastAsia="SimSun"/>
                <w:lang w:val="en-CA" w:eastAsia="zh-CN"/>
              </w:rPr>
            </w:pPr>
            <w:r w:rsidRPr="00664CC7">
              <w:rPr>
                <w:rFonts w:eastAsia="SimSun"/>
                <w:lang w:val="en-CA" w:eastAsia="zh-CN"/>
              </w:rPr>
              <w:t>x</w:t>
            </w:r>
          </w:p>
        </w:tc>
        <w:tc>
          <w:tcPr>
            <w:tcW w:w="1413" w:type="dxa"/>
          </w:tcPr>
          <w:p w14:paraId="614095EC" w14:textId="77777777" w:rsidR="000E78AF" w:rsidRPr="00664CC7" w:rsidRDefault="000E78AF" w:rsidP="00664CC7">
            <w:pPr>
              <w:keepNext/>
              <w:keepLines/>
              <w:rPr>
                <w:rFonts w:eastAsia="SimSun"/>
                <w:lang w:val="en-CA" w:eastAsia="zh-CN"/>
              </w:rPr>
            </w:pPr>
          </w:p>
        </w:tc>
      </w:tr>
    </w:tbl>
    <w:p w14:paraId="5844B40C" w14:textId="77777777" w:rsidR="000E78AF" w:rsidRPr="00664CC7" w:rsidRDefault="000E78AF" w:rsidP="00664CC7">
      <w:pPr>
        <w:widowControl w:val="0"/>
        <w:spacing w:after="240"/>
        <w:ind w:left="284"/>
        <w:rPr>
          <w:rFonts w:eastAsia="SimSun"/>
          <w:color w:val="000000"/>
          <w:lang w:val="en-CA" w:eastAsia="zh-CN"/>
        </w:rPr>
      </w:pPr>
    </w:p>
    <w:p w14:paraId="5EBC1BCE" w14:textId="77777777" w:rsidR="000E78AF" w:rsidRPr="00664CC7" w:rsidRDefault="000E78AF" w:rsidP="00664CC7">
      <w:pPr>
        <w:rPr>
          <w:rFonts w:eastAsia="SimSun"/>
          <w:lang w:val="en-CA" w:eastAsia="zh-CN"/>
        </w:rPr>
      </w:pPr>
    </w:p>
    <w:p w14:paraId="718399CE" w14:textId="77777777" w:rsidR="000E78AF" w:rsidRPr="00664CC7" w:rsidRDefault="000E78AF" w:rsidP="00664CC7">
      <w:pPr>
        <w:rPr>
          <w:rFonts w:eastAsia="SimSun"/>
          <w:lang w:val="en-CA" w:eastAsia="zh-CN"/>
        </w:rPr>
      </w:pPr>
    </w:p>
    <w:p w14:paraId="60B06A39" w14:textId="77777777" w:rsidR="000E78AF" w:rsidRPr="00664CC7" w:rsidRDefault="000E78AF" w:rsidP="00664CC7">
      <w:pPr>
        <w:rPr>
          <w:rFonts w:eastAsia="SimSun"/>
          <w:lang w:val="en-CA" w:eastAsia="zh-CN"/>
        </w:rPr>
      </w:pPr>
    </w:p>
    <w:p w14:paraId="6AE7E63E" w14:textId="77777777" w:rsidR="000E78AF" w:rsidRPr="00664CC7" w:rsidRDefault="000E78AF" w:rsidP="00664CC7">
      <w:pPr>
        <w:rPr>
          <w:rFonts w:eastAsia="SimSun"/>
          <w:lang w:val="en-CA" w:eastAsia="zh-CN"/>
        </w:rPr>
        <w:sectPr w:rsidR="000E78AF" w:rsidRPr="00664CC7" w:rsidSect="0008603E">
          <w:footnotePr>
            <w:numRestart w:val="eachSect"/>
          </w:footnotePr>
          <w:pgSz w:w="12240" w:h="15840" w:code="1"/>
          <w:pgMar w:top="1440" w:right="1440" w:bottom="1440" w:left="1440" w:header="720" w:footer="475" w:gutter="0"/>
          <w:pgNumType w:start="1"/>
          <w:cols w:space="720"/>
          <w:titlePg/>
          <w:docGrid w:linePitch="299"/>
        </w:sectPr>
      </w:pPr>
    </w:p>
    <w:p w14:paraId="5D78DB0C" w14:textId="77777777" w:rsidR="000E78AF" w:rsidRPr="00664CC7" w:rsidRDefault="000E78AF" w:rsidP="00664CC7">
      <w:pPr>
        <w:jc w:val="center"/>
        <w:rPr>
          <w:b/>
          <w:lang w:val="en-CA"/>
        </w:rPr>
      </w:pPr>
      <w:bookmarkStart w:id="26" w:name="_Hlk178009577"/>
      <w:r w:rsidRPr="00664CC7">
        <w:rPr>
          <w:b/>
          <w:lang w:val="en-CA"/>
        </w:rPr>
        <w:lastRenderedPageBreak/>
        <w:t xml:space="preserve">Annex V </w:t>
      </w:r>
    </w:p>
    <w:bookmarkEnd w:id="26"/>
    <w:p w14:paraId="00784563" w14:textId="77777777" w:rsidR="000E78AF" w:rsidRPr="00664CC7" w:rsidRDefault="000E78AF" w:rsidP="00664CC7">
      <w:pPr>
        <w:jc w:val="center"/>
        <w:rPr>
          <w:b/>
          <w:lang w:val="en-CA"/>
        </w:rPr>
      </w:pPr>
    </w:p>
    <w:p w14:paraId="210A9B44" w14:textId="77777777" w:rsidR="000E78AF" w:rsidRPr="00664CC7" w:rsidRDefault="000E78AF" w:rsidP="00664CC7">
      <w:pPr>
        <w:jc w:val="center"/>
        <w:rPr>
          <w:b/>
          <w:lang w:val="en-CA"/>
        </w:rPr>
      </w:pPr>
      <w:r w:rsidRPr="00664CC7">
        <w:rPr>
          <w:b/>
          <w:lang w:val="en-CA"/>
        </w:rPr>
        <w:t>LIST OF GENDER RESULTS AND INDICATORS</w:t>
      </w:r>
      <w:r w:rsidRPr="00664CC7">
        <w:rPr>
          <w:b/>
          <w:vertAlign w:val="superscript"/>
          <w:lang w:val="en-CA"/>
        </w:rPr>
        <w:footnoteReference w:id="5"/>
      </w:r>
    </w:p>
    <w:p w14:paraId="2EF3514D" w14:textId="77777777" w:rsidR="000E78AF" w:rsidRPr="00664CC7" w:rsidRDefault="000E78AF" w:rsidP="00664CC7">
      <w:pPr>
        <w:rPr>
          <w:lang w:val="en-CA"/>
        </w:rPr>
      </w:pPr>
    </w:p>
    <w:tbl>
      <w:tblPr>
        <w:tblStyle w:val="TableGrid"/>
        <w:tblW w:w="0" w:type="auto"/>
        <w:tblLook w:val="04A0" w:firstRow="1" w:lastRow="0" w:firstColumn="1" w:lastColumn="0" w:noHBand="0" w:noVBand="1"/>
      </w:tblPr>
      <w:tblGrid>
        <w:gridCol w:w="3050"/>
        <w:gridCol w:w="6300"/>
      </w:tblGrid>
      <w:tr w:rsidR="000E78AF" w:rsidRPr="00664CC7" w14:paraId="64E19B43" w14:textId="77777777" w:rsidTr="003F4572">
        <w:trPr>
          <w:cantSplit/>
          <w:tblHeader/>
        </w:trPr>
        <w:tc>
          <w:tcPr>
            <w:tcW w:w="3078" w:type="dxa"/>
          </w:tcPr>
          <w:p w14:paraId="4782D4E5" w14:textId="77777777" w:rsidR="000E78AF" w:rsidRPr="00664CC7" w:rsidRDefault="000E78AF" w:rsidP="00664CC7">
            <w:pPr>
              <w:jc w:val="center"/>
              <w:rPr>
                <w:b/>
                <w:lang w:val="en-CA"/>
              </w:rPr>
            </w:pPr>
            <w:r w:rsidRPr="00664CC7">
              <w:rPr>
                <w:b/>
                <w:lang w:val="en-CA"/>
              </w:rPr>
              <w:t>Result</w:t>
            </w:r>
          </w:p>
        </w:tc>
        <w:tc>
          <w:tcPr>
            <w:tcW w:w="6468" w:type="dxa"/>
          </w:tcPr>
          <w:p w14:paraId="012E3631" w14:textId="77777777" w:rsidR="000E78AF" w:rsidRPr="00664CC7" w:rsidRDefault="000E78AF" w:rsidP="00664CC7">
            <w:pPr>
              <w:jc w:val="center"/>
              <w:rPr>
                <w:b/>
                <w:lang w:val="en-CA"/>
              </w:rPr>
            </w:pPr>
            <w:r w:rsidRPr="00664CC7">
              <w:rPr>
                <w:b/>
                <w:lang w:val="en-CA"/>
              </w:rPr>
              <w:t>Indicator (where applicable)</w:t>
            </w:r>
          </w:p>
        </w:tc>
      </w:tr>
      <w:tr w:rsidR="000E78AF" w:rsidRPr="00664CC7" w14:paraId="73CB5148" w14:textId="77777777" w:rsidTr="003F4572">
        <w:tc>
          <w:tcPr>
            <w:tcW w:w="3078" w:type="dxa"/>
          </w:tcPr>
          <w:p w14:paraId="3E0E52A6" w14:textId="77777777" w:rsidR="000E78AF" w:rsidRPr="00664CC7" w:rsidRDefault="000E78AF" w:rsidP="00664CC7">
            <w:pPr>
              <w:jc w:val="left"/>
              <w:rPr>
                <w:lang w:val="en-CA"/>
              </w:rPr>
            </w:pPr>
            <w:r w:rsidRPr="00664CC7">
              <w:rPr>
                <w:lang w:val="en-CA"/>
              </w:rPr>
              <w:t xml:space="preserve">Gender-responsive human resource </w:t>
            </w:r>
            <w:proofErr w:type="gramStart"/>
            <w:r w:rsidRPr="00664CC7">
              <w:rPr>
                <w:lang w:val="en-CA"/>
              </w:rPr>
              <w:t>management  (</w:t>
            </w:r>
            <w:proofErr w:type="gramEnd"/>
            <w:r w:rsidRPr="00664CC7">
              <w:rPr>
                <w:lang w:val="en-CA"/>
              </w:rPr>
              <w:t>recruitment focused)</w:t>
            </w:r>
          </w:p>
        </w:tc>
        <w:tc>
          <w:tcPr>
            <w:tcW w:w="6468" w:type="dxa"/>
          </w:tcPr>
          <w:p w14:paraId="46859288" w14:textId="77777777" w:rsidR="000E78AF" w:rsidRPr="00664CC7" w:rsidRDefault="000E78AF" w:rsidP="00E31096">
            <w:pPr>
              <w:pStyle w:val="ListParagraph"/>
              <w:numPr>
                <w:ilvl w:val="0"/>
                <w:numId w:val="16"/>
              </w:numPr>
              <w:jc w:val="left"/>
              <w:rPr>
                <w:lang w:val="en-CA"/>
              </w:rPr>
            </w:pPr>
            <w:r w:rsidRPr="00664CC7">
              <w:rPr>
                <w:lang w:val="en-CA"/>
              </w:rPr>
              <w:t>Number and percentage of applications received from women and men</w:t>
            </w:r>
          </w:p>
          <w:p w14:paraId="0D533849" w14:textId="77777777" w:rsidR="000E78AF" w:rsidRPr="00664CC7" w:rsidRDefault="000E78AF" w:rsidP="00E31096">
            <w:pPr>
              <w:pStyle w:val="ListParagraph"/>
              <w:numPr>
                <w:ilvl w:val="0"/>
                <w:numId w:val="16"/>
              </w:numPr>
              <w:jc w:val="left"/>
              <w:rPr>
                <w:lang w:val="en-CA"/>
              </w:rPr>
            </w:pPr>
            <w:r w:rsidRPr="00664CC7">
              <w:rPr>
                <w:lang w:val="en-CA"/>
              </w:rPr>
              <w:t>Number of efforts undertaken to encourage women to apply</w:t>
            </w:r>
          </w:p>
          <w:p w14:paraId="4CA309EE" w14:textId="77777777" w:rsidR="000E78AF" w:rsidRPr="00664CC7" w:rsidRDefault="000E78AF" w:rsidP="00E31096">
            <w:pPr>
              <w:pStyle w:val="ListParagraph"/>
              <w:numPr>
                <w:ilvl w:val="0"/>
                <w:numId w:val="16"/>
              </w:numPr>
              <w:jc w:val="left"/>
              <w:rPr>
                <w:lang w:val="en-CA"/>
              </w:rPr>
            </w:pPr>
            <w:r w:rsidRPr="00664CC7">
              <w:rPr>
                <w:lang w:val="en-CA"/>
              </w:rPr>
              <w:t>Number of efforts undertaken to recruit women</w:t>
            </w:r>
          </w:p>
          <w:p w14:paraId="25C0DF42" w14:textId="77777777" w:rsidR="000E78AF" w:rsidRPr="00664CC7" w:rsidRDefault="000E78AF" w:rsidP="00E31096">
            <w:pPr>
              <w:pStyle w:val="ListParagraph"/>
              <w:numPr>
                <w:ilvl w:val="0"/>
                <w:numId w:val="16"/>
              </w:numPr>
              <w:jc w:val="left"/>
              <w:rPr>
                <w:lang w:val="en-CA"/>
              </w:rPr>
            </w:pPr>
            <w:r w:rsidRPr="00664CC7">
              <w:rPr>
                <w:lang w:val="en-CA"/>
              </w:rPr>
              <w:t>Number and percentage of male and female consultants/experts/technical assistants etc. recruited through the project</w:t>
            </w:r>
          </w:p>
          <w:p w14:paraId="73419AC0" w14:textId="77777777" w:rsidR="000E78AF" w:rsidRPr="00664CC7" w:rsidRDefault="000E78AF" w:rsidP="00E31096">
            <w:pPr>
              <w:pStyle w:val="ListParagraph"/>
              <w:numPr>
                <w:ilvl w:val="0"/>
                <w:numId w:val="16"/>
              </w:numPr>
              <w:jc w:val="left"/>
              <w:rPr>
                <w:lang w:val="en-CA"/>
              </w:rPr>
            </w:pPr>
            <w:r w:rsidRPr="00664CC7">
              <w:rPr>
                <w:lang w:val="en-CA"/>
              </w:rPr>
              <w:t>Terms of reference (TOR) include gender competence as requirement in (yes/no)</w:t>
            </w:r>
          </w:p>
          <w:p w14:paraId="36DAA54C" w14:textId="77777777" w:rsidR="000E78AF" w:rsidRPr="00664CC7" w:rsidRDefault="000E78AF" w:rsidP="00E31096">
            <w:pPr>
              <w:pStyle w:val="ListParagraph"/>
              <w:numPr>
                <w:ilvl w:val="0"/>
                <w:numId w:val="16"/>
              </w:numPr>
              <w:jc w:val="left"/>
              <w:rPr>
                <w:lang w:val="en-CA"/>
              </w:rPr>
            </w:pPr>
            <w:r w:rsidRPr="00664CC7">
              <w:rPr>
                <w:lang w:val="en-CA"/>
              </w:rPr>
              <w:t>TORs include provision that encourages women to apply (yes/no)</w:t>
            </w:r>
          </w:p>
          <w:p w14:paraId="7D041DA9" w14:textId="77777777" w:rsidR="000E78AF" w:rsidRPr="00664CC7" w:rsidRDefault="000E78AF" w:rsidP="00E31096">
            <w:pPr>
              <w:pStyle w:val="ListParagraph"/>
              <w:numPr>
                <w:ilvl w:val="0"/>
                <w:numId w:val="16"/>
              </w:numPr>
              <w:jc w:val="left"/>
              <w:rPr>
                <w:lang w:val="en-CA"/>
              </w:rPr>
            </w:pPr>
            <w:r w:rsidRPr="00664CC7">
              <w:rPr>
                <w:lang w:val="en-CA"/>
              </w:rPr>
              <w:t>Gender competence was tested as part of interview/test (yes/no)</w:t>
            </w:r>
          </w:p>
          <w:p w14:paraId="21F2E06C" w14:textId="77777777" w:rsidR="000E78AF" w:rsidRPr="00664CC7" w:rsidRDefault="000E78AF" w:rsidP="00E31096">
            <w:pPr>
              <w:pStyle w:val="ListParagraph"/>
              <w:numPr>
                <w:ilvl w:val="0"/>
                <w:numId w:val="16"/>
              </w:numPr>
              <w:jc w:val="left"/>
              <w:rPr>
                <w:lang w:val="en-CA"/>
              </w:rPr>
            </w:pPr>
            <w:r w:rsidRPr="00664CC7">
              <w:rPr>
                <w:lang w:val="en-CA"/>
              </w:rPr>
              <w:t>Number and percentage of women and men in recruitment panel</w:t>
            </w:r>
          </w:p>
          <w:p w14:paraId="7D9844CE" w14:textId="77777777" w:rsidR="000E78AF" w:rsidRPr="00664CC7" w:rsidRDefault="000E78AF" w:rsidP="00E31096">
            <w:pPr>
              <w:pStyle w:val="ListParagraph"/>
              <w:numPr>
                <w:ilvl w:val="0"/>
                <w:numId w:val="16"/>
              </w:numPr>
              <w:jc w:val="left"/>
              <w:rPr>
                <w:lang w:val="en-CA"/>
              </w:rPr>
            </w:pPr>
            <w:r w:rsidRPr="00664CC7">
              <w:rPr>
                <w:lang w:val="en-CA"/>
              </w:rPr>
              <w:t>Number and percentage of women and men in management/leadership positions</w:t>
            </w:r>
          </w:p>
          <w:p w14:paraId="55948E2B" w14:textId="77777777" w:rsidR="000E78AF" w:rsidRPr="00664CC7" w:rsidRDefault="000E78AF" w:rsidP="00E31096">
            <w:pPr>
              <w:pStyle w:val="ListParagraph"/>
              <w:numPr>
                <w:ilvl w:val="0"/>
                <w:numId w:val="16"/>
              </w:numPr>
              <w:jc w:val="left"/>
              <w:rPr>
                <w:lang w:val="en-CA"/>
              </w:rPr>
            </w:pPr>
            <w:r w:rsidRPr="00664CC7">
              <w:rPr>
                <w:lang w:val="en-CA"/>
              </w:rPr>
              <w:t>Database with women experts established (yes/no)</w:t>
            </w:r>
          </w:p>
          <w:p w14:paraId="3F1EE0DC" w14:textId="77777777" w:rsidR="000E78AF" w:rsidRPr="00664CC7" w:rsidRDefault="000E78AF" w:rsidP="00E31096">
            <w:pPr>
              <w:pStyle w:val="ListParagraph"/>
              <w:numPr>
                <w:ilvl w:val="0"/>
                <w:numId w:val="16"/>
              </w:numPr>
              <w:jc w:val="left"/>
              <w:rPr>
                <w:lang w:val="en-CA"/>
              </w:rPr>
            </w:pPr>
            <w:r w:rsidRPr="00664CC7">
              <w:rPr>
                <w:lang w:val="en-CA"/>
              </w:rPr>
              <w:t>Work environments are gender-friendly (yes/no)</w:t>
            </w:r>
          </w:p>
          <w:p w14:paraId="1EA53E93" w14:textId="77777777" w:rsidR="000E78AF" w:rsidRPr="00664CC7" w:rsidRDefault="000E78AF" w:rsidP="00E31096">
            <w:pPr>
              <w:pStyle w:val="ListParagraph"/>
              <w:numPr>
                <w:ilvl w:val="0"/>
                <w:numId w:val="16"/>
              </w:numPr>
              <w:jc w:val="left"/>
              <w:rPr>
                <w:lang w:val="en-CA"/>
              </w:rPr>
            </w:pPr>
            <w:r w:rsidRPr="00664CC7">
              <w:rPr>
                <w:lang w:val="en-CA"/>
              </w:rPr>
              <w:t>Efforts undertaken to encourage stakeholders/partners to recruit women (yes/no)</w:t>
            </w:r>
          </w:p>
          <w:p w14:paraId="445E6166" w14:textId="77777777" w:rsidR="000E78AF" w:rsidRPr="00664CC7" w:rsidRDefault="000E78AF" w:rsidP="00E31096">
            <w:pPr>
              <w:pStyle w:val="ListParagraph"/>
              <w:numPr>
                <w:ilvl w:val="0"/>
                <w:numId w:val="16"/>
              </w:numPr>
              <w:jc w:val="left"/>
              <w:rPr>
                <w:lang w:val="en-CA"/>
              </w:rPr>
            </w:pPr>
            <w:r w:rsidRPr="00664CC7">
              <w:rPr>
                <w:lang w:val="en-CA"/>
              </w:rPr>
              <w:t>Gender focal point for project identified (yes/no)</w:t>
            </w:r>
          </w:p>
        </w:tc>
      </w:tr>
      <w:tr w:rsidR="000E78AF" w:rsidRPr="00664CC7" w14:paraId="6EAAACB0" w14:textId="77777777" w:rsidTr="003F4572">
        <w:tc>
          <w:tcPr>
            <w:tcW w:w="3078" w:type="dxa"/>
          </w:tcPr>
          <w:p w14:paraId="59FA1F15" w14:textId="77777777" w:rsidR="000E78AF" w:rsidRPr="00664CC7" w:rsidRDefault="000E78AF" w:rsidP="00664CC7">
            <w:pPr>
              <w:jc w:val="left"/>
              <w:rPr>
                <w:lang w:val="en-CA"/>
              </w:rPr>
            </w:pPr>
            <w:r w:rsidRPr="00664CC7">
              <w:rPr>
                <w:lang w:val="en-CA"/>
              </w:rPr>
              <w:t xml:space="preserve">Documents prepared under the project are gender-responsive (e.g. policies, strategies, training materials, knowledge products) </w:t>
            </w:r>
          </w:p>
        </w:tc>
        <w:tc>
          <w:tcPr>
            <w:tcW w:w="6468" w:type="dxa"/>
          </w:tcPr>
          <w:p w14:paraId="6B874011" w14:textId="77777777" w:rsidR="000E78AF" w:rsidRPr="00664CC7" w:rsidRDefault="000E78AF" w:rsidP="00E31096">
            <w:pPr>
              <w:pStyle w:val="ListParagraph"/>
              <w:numPr>
                <w:ilvl w:val="0"/>
                <w:numId w:val="17"/>
              </w:numPr>
              <w:jc w:val="left"/>
              <w:rPr>
                <w:lang w:val="en-CA"/>
              </w:rPr>
            </w:pPr>
            <w:r w:rsidRPr="00664CC7">
              <w:rPr>
                <w:lang w:val="en-CA"/>
              </w:rPr>
              <w:t xml:space="preserve">Number of gender-responsive assessments </w:t>
            </w:r>
          </w:p>
          <w:p w14:paraId="3EB1CB68" w14:textId="77777777" w:rsidR="000E78AF" w:rsidRPr="00664CC7" w:rsidRDefault="000E78AF" w:rsidP="00E31096">
            <w:pPr>
              <w:pStyle w:val="ListParagraph"/>
              <w:numPr>
                <w:ilvl w:val="0"/>
                <w:numId w:val="17"/>
              </w:numPr>
              <w:jc w:val="left"/>
              <w:rPr>
                <w:lang w:val="en-CA"/>
              </w:rPr>
            </w:pPr>
            <w:r w:rsidRPr="00664CC7">
              <w:rPr>
                <w:lang w:val="en-CA"/>
              </w:rPr>
              <w:t>Number of specific gender assessments</w:t>
            </w:r>
          </w:p>
          <w:p w14:paraId="45D518BE" w14:textId="77777777" w:rsidR="000E78AF" w:rsidRPr="00664CC7" w:rsidRDefault="000E78AF" w:rsidP="00E31096">
            <w:pPr>
              <w:pStyle w:val="ListParagraph"/>
              <w:numPr>
                <w:ilvl w:val="0"/>
                <w:numId w:val="17"/>
              </w:numPr>
              <w:jc w:val="left"/>
              <w:rPr>
                <w:lang w:val="en-CA"/>
              </w:rPr>
            </w:pPr>
            <w:r w:rsidRPr="00664CC7">
              <w:rPr>
                <w:lang w:val="en-CA"/>
              </w:rPr>
              <w:t>Technical reports have gender section (yes/no)</w:t>
            </w:r>
          </w:p>
          <w:p w14:paraId="1B230133" w14:textId="77777777" w:rsidR="000E78AF" w:rsidRPr="00664CC7" w:rsidRDefault="000E78AF" w:rsidP="00E31096">
            <w:pPr>
              <w:pStyle w:val="ListParagraph"/>
              <w:numPr>
                <w:ilvl w:val="0"/>
                <w:numId w:val="17"/>
              </w:numPr>
              <w:jc w:val="left"/>
              <w:rPr>
                <w:lang w:val="en-CA"/>
              </w:rPr>
            </w:pPr>
            <w:r w:rsidRPr="00664CC7">
              <w:rPr>
                <w:lang w:val="en-CA"/>
              </w:rPr>
              <w:t>Percentage of data collected in assessments disaggregated by sex</w:t>
            </w:r>
          </w:p>
          <w:p w14:paraId="28F1C2A4" w14:textId="77777777" w:rsidR="000E78AF" w:rsidRPr="00664CC7" w:rsidRDefault="000E78AF" w:rsidP="00E31096">
            <w:pPr>
              <w:pStyle w:val="ListParagraph"/>
              <w:numPr>
                <w:ilvl w:val="0"/>
                <w:numId w:val="17"/>
              </w:numPr>
              <w:jc w:val="left"/>
              <w:rPr>
                <w:lang w:val="en-CA"/>
              </w:rPr>
            </w:pPr>
            <w:r w:rsidRPr="00664CC7">
              <w:rPr>
                <w:lang w:val="en-CA"/>
              </w:rPr>
              <w:t>Number and percentage of women and men interviewed in assessments</w:t>
            </w:r>
          </w:p>
          <w:p w14:paraId="5DC4E17F" w14:textId="77777777" w:rsidR="000E78AF" w:rsidRPr="00664CC7" w:rsidRDefault="000E78AF" w:rsidP="00E31096">
            <w:pPr>
              <w:pStyle w:val="ListParagraph"/>
              <w:numPr>
                <w:ilvl w:val="0"/>
                <w:numId w:val="17"/>
              </w:numPr>
              <w:jc w:val="left"/>
              <w:rPr>
                <w:lang w:val="en-CA"/>
              </w:rPr>
            </w:pPr>
            <w:r w:rsidRPr="00664CC7">
              <w:rPr>
                <w:lang w:val="en-CA"/>
              </w:rPr>
              <w:t>Assessment team included gender specialist (yes/no)</w:t>
            </w:r>
          </w:p>
          <w:p w14:paraId="650BAFC2" w14:textId="77777777" w:rsidR="000E78AF" w:rsidRPr="00664CC7" w:rsidRDefault="000E78AF" w:rsidP="00E31096">
            <w:pPr>
              <w:pStyle w:val="ListParagraph"/>
              <w:numPr>
                <w:ilvl w:val="0"/>
                <w:numId w:val="17"/>
              </w:numPr>
              <w:jc w:val="left"/>
              <w:rPr>
                <w:lang w:val="en-CA"/>
              </w:rPr>
            </w:pPr>
            <w:r w:rsidRPr="00664CC7">
              <w:rPr>
                <w:lang w:val="en-CA"/>
              </w:rPr>
              <w:t>Number and percentage of gender-specific questions included in assessments</w:t>
            </w:r>
          </w:p>
          <w:p w14:paraId="0C629187" w14:textId="77777777" w:rsidR="000E78AF" w:rsidRPr="00664CC7" w:rsidRDefault="000E78AF" w:rsidP="00E31096">
            <w:pPr>
              <w:pStyle w:val="ListParagraph"/>
              <w:numPr>
                <w:ilvl w:val="0"/>
                <w:numId w:val="17"/>
              </w:numPr>
              <w:jc w:val="left"/>
              <w:rPr>
                <w:lang w:val="en-CA"/>
              </w:rPr>
            </w:pPr>
            <w:r w:rsidRPr="00664CC7">
              <w:rPr>
                <w:lang w:val="en-CA"/>
              </w:rPr>
              <w:t>Number of gender references in text</w:t>
            </w:r>
          </w:p>
          <w:p w14:paraId="3C7598AC" w14:textId="77777777" w:rsidR="000E78AF" w:rsidRPr="00664CC7" w:rsidRDefault="000E78AF" w:rsidP="00E31096">
            <w:pPr>
              <w:pStyle w:val="ListParagraph"/>
              <w:numPr>
                <w:ilvl w:val="0"/>
                <w:numId w:val="17"/>
              </w:numPr>
              <w:jc w:val="left"/>
              <w:rPr>
                <w:lang w:val="en-CA"/>
              </w:rPr>
            </w:pPr>
            <w:r w:rsidRPr="00664CC7">
              <w:rPr>
                <w:lang w:val="en-CA"/>
              </w:rPr>
              <w:t xml:space="preserve">Number and percentage of women and men involved in development of document </w:t>
            </w:r>
          </w:p>
          <w:p w14:paraId="066ED3E8" w14:textId="77777777" w:rsidR="000E78AF" w:rsidRPr="00664CC7" w:rsidRDefault="000E78AF" w:rsidP="00E31096">
            <w:pPr>
              <w:pStyle w:val="ListParagraph"/>
              <w:numPr>
                <w:ilvl w:val="0"/>
                <w:numId w:val="17"/>
              </w:numPr>
              <w:jc w:val="left"/>
              <w:rPr>
                <w:lang w:val="en-CA"/>
              </w:rPr>
            </w:pPr>
            <w:r w:rsidRPr="00664CC7">
              <w:rPr>
                <w:lang w:val="en-CA"/>
              </w:rPr>
              <w:t>Number of associations/networks/stakeholders focusing specifically on gender equality and women’s empowerment (GEWE) were consulted throughout the process</w:t>
            </w:r>
          </w:p>
          <w:p w14:paraId="64C42174" w14:textId="77777777" w:rsidR="000E78AF" w:rsidRPr="00664CC7" w:rsidRDefault="000E78AF" w:rsidP="00E31096">
            <w:pPr>
              <w:pStyle w:val="ListParagraph"/>
              <w:numPr>
                <w:ilvl w:val="0"/>
                <w:numId w:val="17"/>
              </w:numPr>
              <w:jc w:val="left"/>
              <w:rPr>
                <w:lang w:val="en-CA"/>
              </w:rPr>
            </w:pPr>
            <w:r w:rsidRPr="00664CC7">
              <w:rPr>
                <w:lang w:val="en-CA"/>
              </w:rPr>
              <w:t>Number and percentage of graphic material in document that portrays women and men</w:t>
            </w:r>
          </w:p>
          <w:p w14:paraId="5344457E" w14:textId="77777777" w:rsidR="000E78AF" w:rsidRPr="00664CC7" w:rsidRDefault="000E78AF" w:rsidP="00E31096">
            <w:pPr>
              <w:pStyle w:val="ListParagraph"/>
              <w:numPr>
                <w:ilvl w:val="0"/>
                <w:numId w:val="17"/>
              </w:numPr>
              <w:jc w:val="left"/>
              <w:rPr>
                <w:lang w:val="en-CA"/>
              </w:rPr>
            </w:pPr>
            <w:r w:rsidRPr="00664CC7">
              <w:rPr>
                <w:lang w:val="en-CA"/>
              </w:rPr>
              <w:t>Presented data is disaggregated by sex (yes/no)</w:t>
            </w:r>
          </w:p>
          <w:p w14:paraId="7D2AD141" w14:textId="77777777" w:rsidR="000E78AF" w:rsidRPr="00664CC7" w:rsidRDefault="000E78AF" w:rsidP="00E31096">
            <w:pPr>
              <w:pStyle w:val="ListParagraph"/>
              <w:numPr>
                <w:ilvl w:val="0"/>
                <w:numId w:val="17"/>
              </w:numPr>
              <w:jc w:val="left"/>
              <w:rPr>
                <w:lang w:val="en-CA"/>
              </w:rPr>
            </w:pPr>
            <w:r w:rsidRPr="00664CC7">
              <w:rPr>
                <w:lang w:val="en-CA"/>
              </w:rPr>
              <w:t>Good gender practices and lessons learned on gender are documented (yes/no)</w:t>
            </w:r>
          </w:p>
        </w:tc>
      </w:tr>
      <w:tr w:rsidR="000E78AF" w:rsidRPr="00664CC7" w14:paraId="67246D5B" w14:textId="77777777" w:rsidTr="003F4572">
        <w:tc>
          <w:tcPr>
            <w:tcW w:w="3078" w:type="dxa"/>
          </w:tcPr>
          <w:p w14:paraId="24AFC25E" w14:textId="77777777" w:rsidR="000E78AF" w:rsidRPr="00664CC7" w:rsidRDefault="000E78AF" w:rsidP="00664CC7">
            <w:pPr>
              <w:jc w:val="left"/>
              <w:rPr>
                <w:lang w:val="en-CA"/>
              </w:rPr>
            </w:pPr>
            <w:r w:rsidRPr="00664CC7">
              <w:rPr>
                <w:lang w:val="en-CA"/>
              </w:rPr>
              <w:t>Gender-responsive knowledge management/dissemination</w:t>
            </w:r>
          </w:p>
        </w:tc>
        <w:tc>
          <w:tcPr>
            <w:tcW w:w="6468" w:type="dxa"/>
          </w:tcPr>
          <w:p w14:paraId="05C04F51" w14:textId="77777777" w:rsidR="000E78AF" w:rsidRPr="00664CC7" w:rsidRDefault="000E78AF" w:rsidP="00E31096">
            <w:pPr>
              <w:pStyle w:val="ListParagraph"/>
              <w:numPr>
                <w:ilvl w:val="0"/>
                <w:numId w:val="18"/>
              </w:numPr>
              <w:jc w:val="left"/>
              <w:rPr>
                <w:lang w:val="en-CA"/>
              </w:rPr>
            </w:pPr>
            <w:r w:rsidRPr="00664CC7">
              <w:rPr>
                <w:lang w:val="en-CA"/>
              </w:rPr>
              <w:t>Number of gender-specific content disseminated (e.g. through online platforms, events)</w:t>
            </w:r>
          </w:p>
          <w:p w14:paraId="3DAF8E9F" w14:textId="77777777" w:rsidR="000E78AF" w:rsidRPr="00664CC7" w:rsidRDefault="000E78AF" w:rsidP="00E31096">
            <w:pPr>
              <w:pStyle w:val="ListParagraph"/>
              <w:numPr>
                <w:ilvl w:val="0"/>
                <w:numId w:val="18"/>
              </w:numPr>
              <w:jc w:val="left"/>
              <w:rPr>
                <w:lang w:val="en-CA"/>
              </w:rPr>
            </w:pPr>
            <w:r w:rsidRPr="00664CC7">
              <w:rPr>
                <w:lang w:val="en-CA"/>
              </w:rPr>
              <w:lastRenderedPageBreak/>
              <w:t>Number of events focusing on gender held (e.g. trainings, workshops, discussions, round tables, side events at conferences)</w:t>
            </w:r>
          </w:p>
          <w:p w14:paraId="12FF4C72" w14:textId="77777777" w:rsidR="000E78AF" w:rsidRPr="00664CC7" w:rsidRDefault="000E78AF" w:rsidP="00E31096">
            <w:pPr>
              <w:pStyle w:val="ListParagraph"/>
              <w:numPr>
                <w:ilvl w:val="0"/>
                <w:numId w:val="18"/>
              </w:numPr>
              <w:jc w:val="left"/>
              <w:rPr>
                <w:lang w:val="en-CA"/>
              </w:rPr>
            </w:pPr>
            <w:r w:rsidRPr="00664CC7">
              <w:rPr>
                <w:lang w:val="en-CA"/>
              </w:rPr>
              <w:t xml:space="preserve">Number of women and men that received/accessed information </w:t>
            </w:r>
          </w:p>
        </w:tc>
      </w:tr>
      <w:tr w:rsidR="000E78AF" w:rsidRPr="00664CC7" w14:paraId="196493C2" w14:textId="77777777" w:rsidTr="003F4572">
        <w:tc>
          <w:tcPr>
            <w:tcW w:w="3078" w:type="dxa"/>
          </w:tcPr>
          <w:p w14:paraId="7B8421E2" w14:textId="77777777" w:rsidR="000E78AF" w:rsidRPr="00664CC7" w:rsidRDefault="000E78AF" w:rsidP="00664CC7">
            <w:pPr>
              <w:keepNext/>
              <w:keepLines/>
              <w:widowControl w:val="0"/>
              <w:jc w:val="left"/>
              <w:rPr>
                <w:lang w:val="en-CA"/>
              </w:rPr>
            </w:pPr>
            <w:r w:rsidRPr="00664CC7">
              <w:rPr>
                <w:lang w:val="en-CA"/>
              </w:rPr>
              <w:lastRenderedPageBreak/>
              <w:t>Gender-responsive capacity building (for gender</w:t>
            </w:r>
            <w:r w:rsidRPr="00664CC7">
              <w:rPr>
                <w:lang w:val="en-CA"/>
              </w:rPr>
              <w:noBreakHyphen/>
              <w:t>responsive training see above)</w:t>
            </w:r>
          </w:p>
        </w:tc>
        <w:tc>
          <w:tcPr>
            <w:tcW w:w="6468" w:type="dxa"/>
          </w:tcPr>
          <w:p w14:paraId="1714D58A"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Number and percentage of male and female participants</w:t>
            </w:r>
          </w:p>
          <w:p w14:paraId="1550BB1E"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Number and percentage of trainings for gender issues</w:t>
            </w:r>
          </w:p>
          <w:p w14:paraId="55273946"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Number and percentage of trainings that include targeted session on gender</w:t>
            </w:r>
          </w:p>
          <w:p w14:paraId="5CCD284A"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Number and percentage of trainings undertaken in collaboration with gender focal points/gender experts’/gender departments</w:t>
            </w:r>
          </w:p>
          <w:p w14:paraId="458F945F"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percentage of time dedicated to gender in trainings</w:t>
            </w:r>
          </w:p>
          <w:p w14:paraId="303BD329"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Number and percentage of women presenting in trainings</w:t>
            </w:r>
          </w:p>
          <w:p w14:paraId="02208CC9"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Data presented in trainings is disaggregated by sex (yes/no)</w:t>
            </w:r>
          </w:p>
          <w:p w14:paraId="35C5BA09"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Trainers have gender competence (yes/no)</w:t>
            </w:r>
          </w:p>
          <w:p w14:paraId="7D7EBBE4"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Gender specialist involved in preparation of training and information material (yes/no)</w:t>
            </w:r>
          </w:p>
          <w:p w14:paraId="01FB1BC2" w14:textId="77777777" w:rsidR="000E78AF" w:rsidRPr="00664CC7" w:rsidRDefault="000E78AF" w:rsidP="00E31096">
            <w:pPr>
              <w:pStyle w:val="ListParagraph"/>
              <w:keepNext/>
              <w:keepLines/>
              <w:widowControl w:val="0"/>
              <w:numPr>
                <w:ilvl w:val="0"/>
                <w:numId w:val="19"/>
              </w:numPr>
              <w:jc w:val="left"/>
              <w:rPr>
                <w:lang w:val="en-CA"/>
              </w:rPr>
            </w:pPr>
            <w:r w:rsidRPr="00664CC7">
              <w:rPr>
                <w:lang w:val="en-CA"/>
              </w:rPr>
              <w:t>Training/information material is gender-sensitive (yes/no)</w:t>
            </w:r>
          </w:p>
        </w:tc>
      </w:tr>
      <w:tr w:rsidR="000E78AF" w:rsidRPr="00664CC7" w14:paraId="055BF2B7" w14:textId="77777777" w:rsidTr="003F4572">
        <w:tc>
          <w:tcPr>
            <w:tcW w:w="3078" w:type="dxa"/>
          </w:tcPr>
          <w:p w14:paraId="42852862" w14:textId="77777777" w:rsidR="000E78AF" w:rsidRPr="00664CC7" w:rsidRDefault="000E78AF" w:rsidP="00664CC7">
            <w:pPr>
              <w:jc w:val="left"/>
              <w:rPr>
                <w:lang w:val="en-CA"/>
              </w:rPr>
            </w:pPr>
            <w:r w:rsidRPr="00664CC7">
              <w:rPr>
                <w:lang w:val="en-CA"/>
              </w:rPr>
              <w:t>Work environments are gender-friendly</w:t>
            </w:r>
          </w:p>
        </w:tc>
        <w:tc>
          <w:tcPr>
            <w:tcW w:w="6468" w:type="dxa"/>
          </w:tcPr>
          <w:p w14:paraId="096B1D35" w14:textId="77777777" w:rsidR="000E78AF" w:rsidRPr="00664CC7" w:rsidRDefault="000E78AF" w:rsidP="00E31096">
            <w:pPr>
              <w:pStyle w:val="ListParagraph"/>
              <w:numPr>
                <w:ilvl w:val="0"/>
                <w:numId w:val="20"/>
              </w:numPr>
              <w:jc w:val="left"/>
              <w:rPr>
                <w:lang w:val="en-CA"/>
              </w:rPr>
            </w:pPr>
            <w:r w:rsidRPr="00664CC7">
              <w:rPr>
                <w:lang w:val="en-CA"/>
              </w:rPr>
              <w:t>Number of stakeholders (e.g., private sector partners) sensitized on the need for gender-friendly work environments</w:t>
            </w:r>
          </w:p>
          <w:p w14:paraId="6D4C396B" w14:textId="77777777" w:rsidR="000E78AF" w:rsidRPr="00664CC7" w:rsidRDefault="000E78AF" w:rsidP="00E31096">
            <w:pPr>
              <w:pStyle w:val="ListParagraph"/>
              <w:numPr>
                <w:ilvl w:val="0"/>
                <w:numId w:val="20"/>
              </w:numPr>
              <w:jc w:val="left"/>
              <w:rPr>
                <w:lang w:val="en-CA"/>
              </w:rPr>
            </w:pPr>
            <w:r w:rsidRPr="00664CC7">
              <w:rPr>
                <w:lang w:val="en-CA"/>
              </w:rPr>
              <w:t>Flexible working hours possible (yes/no)</w:t>
            </w:r>
          </w:p>
          <w:p w14:paraId="20439C6F" w14:textId="77777777" w:rsidR="000E78AF" w:rsidRPr="00664CC7" w:rsidRDefault="000E78AF" w:rsidP="00E31096">
            <w:pPr>
              <w:pStyle w:val="ListParagraph"/>
              <w:numPr>
                <w:ilvl w:val="0"/>
                <w:numId w:val="20"/>
              </w:numPr>
              <w:jc w:val="left"/>
              <w:rPr>
                <w:lang w:val="en-CA"/>
              </w:rPr>
            </w:pPr>
            <w:proofErr w:type="gramStart"/>
            <w:r w:rsidRPr="00664CC7">
              <w:rPr>
                <w:lang w:val="en-CA"/>
              </w:rPr>
              <w:t>Child care</w:t>
            </w:r>
            <w:proofErr w:type="gramEnd"/>
            <w:r w:rsidRPr="00664CC7">
              <w:rPr>
                <w:lang w:val="en-CA"/>
              </w:rPr>
              <w:t xml:space="preserve"> facilities available at the work place (yes/no)</w:t>
            </w:r>
          </w:p>
          <w:p w14:paraId="5CD50ACA" w14:textId="77777777" w:rsidR="000E78AF" w:rsidRPr="00664CC7" w:rsidRDefault="000E78AF" w:rsidP="00E31096">
            <w:pPr>
              <w:pStyle w:val="ListParagraph"/>
              <w:numPr>
                <w:ilvl w:val="0"/>
                <w:numId w:val="20"/>
              </w:numPr>
              <w:jc w:val="left"/>
              <w:rPr>
                <w:lang w:val="en-CA"/>
              </w:rPr>
            </w:pPr>
            <w:r w:rsidRPr="00664CC7">
              <w:rPr>
                <w:lang w:val="en-CA"/>
              </w:rPr>
              <w:t>Separate washrooms for women and men available (yes/no)</w:t>
            </w:r>
          </w:p>
          <w:p w14:paraId="740BD79F" w14:textId="77777777" w:rsidR="000E78AF" w:rsidRPr="00664CC7" w:rsidRDefault="000E78AF" w:rsidP="00E31096">
            <w:pPr>
              <w:pStyle w:val="ListParagraph"/>
              <w:numPr>
                <w:ilvl w:val="0"/>
                <w:numId w:val="20"/>
              </w:numPr>
              <w:jc w:val="left"/>
              <w:rPr>
                <w:lang w:val="en-CA"/>
              </w:rPr>
            </w:pPr>
            <w:r w:rsidRPr="00664CC7">
              <w:rPr>
                <w:lang w:val="en-CA"/>
              </w:rPr>
              <w:t>Transport for women and men available to workplace (yes/no)</w:t>
            </w:r>
          </w:p>
        </w:tc>
      </w:tr>
      <w:tr w:rsidR="000E78AF" w:rsidRPr="00664CC7" w14:paraId="68900494" w14:textId="77777777" w:rsidTr="003F4572">
        <w:tc>
          <w:tcPr>
            <w:tcW w:w="3078" w:type="dxa"/>
          </w:tcPr>
          <w:p w14:paraId="337B0503" w14:textId="77777777" w:rsidR="000E78AF" w:rsidRPr="00664CC7" w:rsidRDefault="000E78AF" w:rsidP="00664CC7">
            <w:pPr>
              <w:jc w:val="left"/>
              <w:rPr>
                <w:lang w:val="en-CA"/>
              </w:rPr>
            </w:pPr>
            <w:r w:rsidRPr="00664CC7">
              <w:rPr>
                <w:lang w:val="en-CA"/>
              </w:rPr>
              <w:t>Enhanced economic empowerment of women</w:t>
            </w:r>
          </w:p>
        </w:tc>
        <w:tc>
          <w:tcPr>
            <w:tcW w:w="6468" w:type="dxa"/>
          </w:tcPr>
          <w:p w14:paraId="117C1637" w14:textId="77777777" w:rsidR="000E78AF" w:rsidRPr="00664CC7" w:rsidRDefault="000E78AF" w:rsidP="00E31096">
            <w:pPr>
              <w:pStyle w:val="ListParagraph"/>
              <w:numPr>
                <w:ilvl w:val="0"/>
                <w:numId w:val="21"/>
              </w:numPr>
              <w:jc w:val="left"/>
              <w:rPr>
                <w:lang w:val="en-CA"/>
              </w:rPr>
            </w:pPr>
            <w:r w:rsidRPr="00664CC7">
              <w:rPr>
                <w:lang w:val="en-CA"/>
              </w:rPr>
              <w:t>Number and percentage of women and men in formal employment (by sector and type)</w:t>
            </w:r>
          </w:p>
          <w:p w14:paraId="606CF274" w14:textId="77777777" w:rsidR="000E78AF" w:rsidRPr="00664CC7" w:rsidRDefault="000E78AF" w:rsidP="00E31096">
            <w:pPr>
              <w:pStyle w:val="ListParagraph"/>
              <w:numPr>
                <w:ilvl w:val="0"/>
                <w:numId w:val="21"/>
              </w:numPr>
              <w:jc w:val="left"/>
              <w:rPr>
                <w:lang w:val="en-CA"/>
              </w:rPr>
            </w:pPr>
            <w:r w:rsidRPr="00664CC7">
              <w:rPr>
                <w:lang w:val="en-CA"/>
              </w:rPr>
              <w:t>Number and percentage of women and men in leadership positions</w:t>
            </w:r>
          </w:p>
          <w:p w14:paraId="4E9E2801" w14:textId="77777777" w:rsidR="000E78AF" w:rsidRPr="00664CC7" w:rsidRDefault="000E78AF" w:rsidP="00E31096">
            <w:pPr>
              <w:pStyle w:val="ListParagraph"/>
              <w:numPr>
                <w:ilvl w:val="0"/>
                <w:numId w:val="21"/>
              </w:numPr>
              <w:jc w:val="left"/>
              <w:rPr>
                <w:lang w:val="en-CA"/>
              </w:rPr>
            </w:pPr>
            <w:r w:rsidRPr="00664CC7">
              <w:rPr>
                <w:lang w:val="en-CA"/>
              </w:rPr>
              <w:t>Number and percentage of women and men trained</w:t>
            </w:r>
          </w:p>
          <w:p w14:paraId="24717C5E" w14:textId="77777777" w:rsidR="000E78AF" w:rsidRPr="00664CC7" w:rsidRDefault="000E78AF" w:rsidP="00E31096">
            <w:pPr>
              <w:pStyle w:val="ListParagraph"/>
              <w:numPr>
                <w:ilvl w:val="0"/>
                <w:numId w:val="21"/>
              </w:numPr>
              <w:jc w:val="left"/>
              <w:rPr>
                <w:lang w:val="en-CA"/>
              </w:rPr>
            </w:pPr>
            <w:r w:rsidRPr="00664CC7">
              <w:rPr>
                <w:lang w:val="en-CA"/>
              </w:rPr>
              <w:t>Number and percentage of enterprises owned by women and men</w:t>
            </w:r>
          </w:p>
          <w:p w14:paraId="30BCD8FF" w14:textId="77777777" w:rsidR="000E78AF" w:rsidRPr="00664CC7" w:rsidRDefault="000E78AF" w:rsidP="00E31096">
            <w:pPr>
              <w:pStyle w:val="ListParagraph"/>
              <w:numPr>
                <w:ilvl w:val="0"/>
                <w:numId w:val="21"/>
              </w:numPr>
              <w:jc w:val="left"/>
              <w:rPr>
                <w:lang w:val="en-CA"/>
              </w:rPr>
            </w:pPr>
            <w:r w:rsidRPr="00664CC7">
              <w:rPr>
                <w:lang w:val="en-CA"/>
              </w:rPr>
              <w:t>Number and percentage of enterprises managed by women and men</w:t>
            </w:r>
          </w:p>
          <w:p w14:paraId="57DD86FA" w14:textId="77777777" w:rsidR="000E78AF" w:rsidRPr="00664CC7" w:rsidRDefault="000E78AF" w:rsidP="00E31096">
            <w:pPr>
              <w:pStyle w:val="ListParagraph"/>
              <w:numPr>
                <w:ilvl w:val="0"/>
                <w:numId w:val="21"/>
              </w:numPr>
              <w:jc w:val="left"/>
              <w:rPr>
                <w:lang w:val="en-CA"/>
              </w:rPr>
            </w:pPr>
            <w:r w:rsidRPr="00664CC7">
              <w:rPr>
                <w:lang w:val="en-CA"/>
              </w:rPr>
              <w:t>Evidence that perception of women’s empowerment has changed (e.g. testimonies, interviews)</w:t>
            </w:r>
          </w:p>
        </w:tc>
      </w:tr>
      <w:tr w:rsidR="000E78AF" w:rsidRPr="00C26055" w14:paraId="411B7912" w14:textId="77777777" w:rsidTr="003F4572">
        <w:tc>
          <w:tcPr>
            <w:tcW w:w="3078" w:type="dxa"/>
          </w:tcPr>
          <w:p w14:paraId="780C80D9" w14:textId="77777777" w:rsidR="000E78AF" w:rsidRPr="00664CC7" w:rsidRDefault="000E78AF" w:rsidP="00664CC7">
            <w:pPr>
              <w:jc w:val="left"/>
              <w:rPr>
                <w:lang w:val="en-CA"/>
              </w:rPr>
            </w:pPr>
            <w:r w:rsidRPr="00664CC7">
              <w:rPr>
                <w:lang w:val="en-CA"/>
              </w:rPr>
              <w:t>Enhanced understanding of GEWE among project staff / stakeholders and beneficiaries</w:t>
            </w:r>
          </w:p>
        </w:tc>
        <w:tc>
          <w:tcPr>
            <w:tcW w:w="6468" w:type="dxa"/>
          </w:tcPr>
          <w:p w14:paraId="12B7F1EE" w14:textId="77777777" w:rsidR="000E78AF" w:rsidRPr="00664CC7" w:rsidRDefault="000E78AF" w:rsidP="00E31096">
            <w:pPr>
              <w:pStyle w:val="ListParagraph"/>
              <w:numPr>
                <w:ilvl w:val="0"/>
                <w:numId w:val="22"/>
              </w:numPr>
              <w:jc w:val="left"/>
              <w:rPr>
                <w:lang w:val="en-CA"/>
              </w:rPr>
            </w:pPr>
            <w:r w:rsidRPr="00664CC7">
              <w:rPr>
                <w:lang w:val="en-CA"/>
              </w:rPr>
              <w:t>Number and percentage of staff / stakeholders / male and female beneficiaries who received training on gender</w:t>
            </w:r>
          </w:p>
          <w:p w14:paraId="35C8FCEC" w14:textId="77777777" w:rsidR="000E78AF" w:rsidRPr="00664CC7" w:rsidRDefault="000E78AF" w:rsidP="00E31096">
            <w:pPr>
              <w:pStyle w:val="ListParagraph"/>
              <w:numPr>
                <w:ilvl w:val="0"/>
                <w:numId w:val="22"/>
              </w:numPr>
              <w:jc w:val="left"/>
              <w:rPr>
                <w:lang w:val="en-CA"/>
              </w:rPr>
            </w:pPr>
            <w:r w:rsidRPr="00664CC7">
              <w:rPr>
                <w:lang w:val="en-CA"/>
              </w:rPr>
              <w:t>Evidence that women are more aware of their rights (e.g. through interviews/testimonies)</w:t>
            </w:r>
          </w:p>
          <w:p w14:paraId="7A9BABD1" w14:textId="77777777" w:rsidR="000E78AF" w:rsidRPr="00664CC7" w:rsidRDefault="000E78AF" w:rsidP="00E31096">
            <w:pPr>
              <w:pStyle w:val="ListParagraph"/>
              <w:numPr>
                <w:ilvl w:val="0"/>
                <w:numId w:val="22"/>
              </w:numPr>
              <w:jc w:val="left"/>
              <w:rPr>
                <w:lang w:val="en-CA"/>
              </w:rPr>
            </w:pPr>
            <w:r w:rsidRPr="00664CC7">
              <w:rPr>
                <w:lang w:val="en-CA"/>
              </w:rPr>
              <w:t>Evidence that men are supportive of GEWE (e.g. through interviews/testimonies)</w:t>
            </w:r>
          </w:p>
        </w:tc>
      </w:tr>
    </w:tbl>
    <w:p w14:paraId="56008307" w14:textId="77777777" w:rsidR="000E78AF" w:rsidRPr="00C26055" w:rsidRDefault="000E78AF" w:rsidP="00664CC7">
      <w:pPr>
        <w:jc w:val="left"/>
        <w:rPr>
          <w:lang w:val="en-CA"/>
        </w:rPr>
      </w:pPr>
    </w:p>
    <w:p w14:paraId="6CAF7510" w14:textId="77777777" w:rsidR="000E78AF" w:rsidRPr="00C26055" w:rsidRDefault="000E78AF" w:rsidP="00664CC7">
      <w:pPr>
        <w:jc w:val="left"/>
        <w:rPr>
          <w:lang w:val="en-CA"/>
        </w:rPr>
      </w:pPr>
    </w:p>
    <w:p w14:paraId="222AD8A1" w14:textId="77777777" w:rsidR="000E78AF" w:rsidRPr="00C26055" w:rsidRDefault="000E78AF" w:rsidP="00664CC7">
      <w:pPr>
        <w:rPr>
          <w:lang w:val="en-CA"/>
        </w:rPr>
      </w:pPr>
    </w:p>
    <w:p w14:paraId="60C56F07" w14:textId="77777777" w:rsidR="000E78AF" w:rsidRDefault="000E78AF" w:rsidP="00664CC7">
      <w:pPr>
        <w:rPr>
          <w:lang w:val="en-CA"/>
        </w:rPr>
      </w:pPr>
    </w:p>
    <w:p w14:paraId="7F293E00" w14:textId="77777777" w:rsidR="00B210A4" w:rsidRDefault="00B210A4" w:rsidP="00664CC7">
      <w:pPr>
        <w:rPr>
          <w:lang w:val="en-CA"/>
        </w:rPr>
      </w:pPr>
    </w:p>
    <w:p w14:paraId="1C81AD4C" w14:textId="77777777" w:rsidR="00B210A4" w:rsidRDefault="00B210A4" w:rsidP="00664CC7">
      <w:pPr>
        <w:rPr>
          <w:lang w:val="en-CA"/>
        </w:rPr>
      </w:pPr>
    </w:p>
    <w:p w14:paraId="744236E3" w14:textId="77777777" w:rsidR="00B210A4" w:rsidRDefault="00B210A4" w:rsidP="00664CC7">
      <w:pPr>
        <w:rPr>
          <w:lang w:val="en-CA"/>
        </w:rPr>
      </w:pPr>
    </w:p>
    <w:p w14:paraId="1E2020C6" w14:textId="77777777" w:rsidR="00B210A4" w:rsidRDefault="00B210A4" w:rsidP="00664CC7">
      <w:pPr>
        <w:rPr>
          <w:lang w:val="en-CA"/>
        </w:rPr>
      </w:pPr>
    </w:p>
    <w:p w14:paraId="0A195C6B" w14:textId="77777777" w:rsidR="00B210A4" w:rsidRDefault="00B210A4" w:rsidP="00664CC7">
      <w:pPr>
        <w:rPr>
          <w:lang w:val="en-CA"/>
        </w:rPr>
      </w:pPr>
    </w:p>
    <w:p w14:paraId="784D0068" w14:textId="77777777" w:rsidR="00B210A4" w:rsidRDefault="00B210A4" w:rsidP="00664CC7">
      <w:pPr>
        <w:rPr>
          <w:lang w:val="en-CA"/>
        </w:rPr>
      </w:pPr>
    </w:p>
    <w:p w14:paraId="50373EFE" w14:textId="1455ADE6" w:rsidR="00B210A4" w:rsidRPr="00B210A4" w:rsidRDefault="00B210A4" w:rsidP="008E6C50">
      <w:pPr>
        <w:jc w:val="center"/>
        <w:rPr>
          <w:b/>
          <w:lang w:val="en-CA"/>
        </w:rPr>
      </w:pPr>
      <w:r w:rsidRPr="00B210A4">
        <w:rPr>
          <w:b/>
          <w:lang w:val="en-CA"/>
        </w:rPr>
        <w:lastRenderedPageBreak/>
        <w:t>Annex V</w:t>
      </w:r>
      <w:r>
        <w:rPr>
          <w:b/>
          <w:lang w:val="en-CA"/>
        </w:rPr>
        <w:t>I</w:t>
      </w:r>
    </w:p>
    <w:p w14:paraId="221E3EA8" w14:textId="77777777" w:rsidR="00B210A4" w:rsidRDefault="00B210A4" w:rsidP="00664CC7">
      <w:pPr>
        <w:rPr>
          <w:lang w:val="en-CA"/>
        </w:rPr>
      </w:pPr>
    </w:p>
    <w:p w14:paraId="760F65E0" w14:textId="68650F51" w:rsidR="00B210A4" w:rsidRPr="008E6C50" w:rsidRDefault="009A0AC3" w:rsidP="008E6C50">
      <w:pPr>
        <w:jc w:val="center"/>
        <w:rPr>
          <w:b/>
          <w:lang w:val="en-CA"/>
        </w:rPr>
      </w:pPr>
      <w:r w:rsidRPr="009A0AC3">
        <w:rPr>
          <w:b/>
          <w:lang w:val="en-CA"/>
        </w:rPr>
        <w:t xml:space="preserve">VERIFICATION REPORT FOR </w:t>
      </w:r>
      <w:r w:rsidRPr="008E6C50">
        <w:rPr>
          <w:b/>
          <w:lang w:val="en-CA"/>
        </w:rPr>
        <w:t>HPMP-I</w:t>
      </w:r>
    </w:p>
    <w:p w14:paraId="46B8A0C8" w14:textId="77777777" w:rsidR="00B210A4" w:rsidRPr="00C26055" w:rsidRDefault="00B210A4" w:rsidP="00664CC7">
      <w:pPr>
        <w:rPr>
          <w:lang w:val="en-CA"/>
        </w:rPr>
      </w:pPr>
    </w:p>
    <w:p w14:paraId="114157E2" w14:textId="77777777" w:rsidR="000E78AF" w:rsidRPr="00C26055" w:rsidRDefault="000E78AF" w:rsidP="00664CC7">
      <w:pPr>
        <w:rPr>
          <w:rFonts w:eastAsia="SimSun"/>
          <w:color w:val="000000"/>
          <w:lang w:val="en-CA" w:eastAsia="zh-CN"/>
        </w:rPr>
      </w:pPr>
    </w:p>
    <w:p w14:paraId="12D521A4" w14:textId="77777777" w:rsidR="000E78AF" w:rsidRPr="00C26055" w:rsidRDefault="000E78AF" w:rsidP="00664CC7">
      <w:pPr>
        <w:rPr>
          <w:lang w:val="en-CA"/>
        </w:rPr>
      </w:pPr>
    </w:p>
    <w:p w14:paraId="5D3DE2D9" w14:textId="77777777" w:rsidR="000E78AF" w:rsidRPr="00C26055" w:rsidRDefault="000E78AF" w:rsidP="00664CC7">
      <w:pPr>
        <w:spacing w:after="120"/>
        <w:rPr>
          <w:lang w:val="en-CA"/>
        </w:rPr>
      </w:pPr>
    </w:p>
    <w:p w14:paraId="7F22AF69" w14:textId="1D520C5A" w:rsidR="008A3A37" w:rsidRPr="00C26055" w:rsidRDefault="008A3A37" w:rsidP="00664CC7">
      <w:pPr>
        <w:pStyle w:val="0Heading0"/>
        <w:keepNext/>
        <w:rPr>
          <w:rFonts w:eastAsia="SimSun"/>
          <w:color w:val="000000"/>
          <w:lang w:val="en-CA" w:eastAsia="zh-CN"/>
        </w:rPr>
      </w:pPr>
    </w:p>
    <w:sectPr w:rsidR="008A3A37" w:rsidRPr="00C26055" w:rsidSect="0008603E">
      <w:footnotePr>
        <w:numRestart w:val="eachSect"/>
      </w:footnotePr>
      <w:pgSz w:w="12240" w:h="15840" w:code="1"/>
      <w:pgMar w:top="1440" w:right="1440" w:bottom="1440" w:left="1440" w:header="720" w:footer="47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4D51" w14:textId="77777777" w:rsidR="00721493" w:rsidRDefault="00721493" w:rsidP="00FE315B">
      <w:r>
        <w:separator/>
      </w:r>
    </w:p>
  </w:endnote>
  <w:endnote w:type="continuationSeparator" w:id="0">
    <w:p w14:paraId="724082B4" w14:textId="77777777" w:rsidR="00721493" w:rsidRDefault="00721493" w:rsidP="00FE315B">
      <w:r>
        <w:continuationSeparator/>
      </w:r>
    </w:p>
  </w:endnote>
  <w:endnote w:type="continuationNotice" w:id="1">
    <w:p w14:paraId="3728A375" w14:textId="77777777" w:rsidR="00721493" w:rsidRDefault="00721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767148"/>
      <w:docPartObj>
        <w:docPartGallery w:val="Page Numbers (Bottom of Page)"/>
        <w:docPartUnique/>
      </w:docPartObj>
    </w:sdtPr>
    <w:sdtEndPr>
      <w:rPr>
        <w:noProof/>
      </w:rPr>
    </w:sdtEndPr>
    <w:sdtContent>
      <w:p w14:paraId="635DDABF" w14:textId="77777777" w:rsidR="00A92397" w:rsidRPr="00FE315B" w:rsidRDefault="00A92397" w:rsidP="000F1F17">
        <w:pPr>
          <w:pStyle w:val="Footer"/>
          <w:pBdr>
            <w:top w:val="single" w:sz="4" w:space="1" w:color="auto"/>
          </w:pBdr>
          <w:tabs>
            <w:tab w:val="clear" w:pos="4320"/>
            <w:tab w:val="clear" w:pos="8640"/>
            <w:tab w:val="right" w:pos="9360"/>
          </w:tabs>
          <w:rPr>
            <w:i/>
            <w:sz w:val="20"/>
            <w:szCs w:val="20"/>
          </w:rPr>
        </w:pPr>
        <w:r w:rsidRPr="00C37579">
          <w:rPr>
            <w:i/>
            <w:sz w:val="20"/>
            <w:szCs w:val="20"/>
          </w:rPr>
          <w:t>The Multilateral Fund Secretariat</w:t>
        </w:r>
        <w:r>
          <w:rPr>
            <w:i/>
            <w:sz w:val="20"/>
            <w:szCs w:val="20"/>
          </w:rPr>
          <w:tab/>
        </w:r>
        <w:r>
          <w:rPr>
            <w:i/>
            <w:sz w:val="20"/>
            <w:szCs w:val="20"/>
          </w:rPr>
          <w:tab/>
        </w:r>
        <w:r>
          <w:rPr>
            <w:i/>
            <w:sz w:val="20"/>
            <w:szCs w:val="20"/>
          </w:rPr>
          <w:tab/>
        </w:r>
        <w:r>
          <w:rPr>
            <w:i/>
            <w:sz w:val="20"/>
            <w:szCs w:val="20"/>
          </w:rPr>
          <w:tab/>
        </w:r>
        <w:r>
          <w:rPr>
            <w:i/>
            <w:sz w:val="20"/>
            <w:szCs w:val="20"/>
          </w:rPr>
          <w:tab/>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E8F8" w14:textId="77777777" w:rsidR="00A92397" w:rsidRPr="00FB07BA" w:rsidRDefault="00A92397" w:rsidP="00422A43">
    <w:pPr>
      <w:pBdr>
        <w:top w:val="single" w:sz="4" w:space="1" w:color="auto"/>
      </w:pBdr>
      <w:tabs>
        <w:tab w:val="right" w:pos="9360"/>
      </w:tabs>
      <w:rPr>
        <w:i/>
        <w:sz w:val="20"/>
        <w:szCs w:val="20"/>
      </w:rPr>
    </w:pPr>
    <w:r w:rsidRPr="00FB07BA">
      <w:rPr>
        <w:i/>
        <w:sz w:val="20"/>
        <w:szCs w:val="20"/>
      </w:rPr>
      <w:t>The Multilateral Fund Secretariat</w:t>
    </w:r>
    <w:r w:rsidRPr="00FB07BA">
      <w:rPr>
        <w:i/>
        <w:sz w:val="20"/>
        <w:szCs w:val="20"/>
      </w:rPr>
      <w:tab/>
    </w:r>
    <w:r w:rsidRPr="00FB07BA">
      <w:rPr>
        <w:i/>
        <w:sz w:val="20"/>
        <w:szCs w:val="20"/>
      </w:rPr>
      <w:fldChar w:fldCharType="begin"/>
    </w:r>
    <w:r w:rsidRPr="00FB07BA">
      <w:rPr>
        <w:i/>
        <w:sz w:val="20"/>
        <w:szCs w:val="20"/>
      </w:rPr>
      <w:instrText xml:space="preserve"> PAGE </w:instrText>
    </w:r>
    <w:r w:rsidRPr="00FB07BA">
      <w:rPr>
        <w:i/>
        <w:sz w:val="20"/>
        <w:szCs w:val="20"/>
      </w:rPr>
      <w:fldChar w:fldCharType="separate"/>
    </w:r>
    <w:r>
      <w:rPr>
        <w:i/>
        <w:noProof/>
        <w:sz w:val="20"/>
        <w:szCs w:val="20"/>
      </w:rPr>
      <w:t>2</w:t>
    </w:r>
    <w:r w:rsidRPr="00FB07BA">
      <w:rPr>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CCBF" w14:textId="0B153ADB" w:rsidR="00A92397" w:rsidRPr="00FB07BA" w:rsidRDefault="00A92397" w:rsidP="00422A43">
    <w:pPr>
      <w:pBdr>
        <w:top w:val="single" w:sz="4" w:space="1" w:color="auto"/>
      </w:pBdr>
      <w:tabs>
        <w:tab w:val="right" w:pos="9360"/>
      </w:tabs>
      <w:rPr>
        <w:i/>
        <w:sz w:val="20"/>
        <w:szCs w:val="20"/>
      </w:rPr>
    </w:pPr>
    <w:r w:rsidRPr="00FB07BA">
      <w:rPr>
        <w:i/>
        <w:sz w:val="20"/>
        <w:szCs w:val="20"/>
      </w:rPr>
      <w:t>The Multilateral Fund Secretariat</w:t>
    </w:r>
    <w:r w:rsidRPr="00FB07BA">
      <w:rPr>
        <w:i/>
        <w:sz w:val="20"/>
        <w:szCs w:val="20"/>
      </w:rPr>
      <w:tab/>
    </w:r>
    <w:r w:rsidRPr="00FB07BA">
      <w:rPr>
        <w:i/>
        <w:sz w:val="20"/>
        <w:szCs w:val="20"/>
      </w:rPr>
      <w:fldChar w:fldCharType="begin"/>
    </w:r>
    <w:r w:rsidRPr="00FB07BA">
      <w:rPr>
        <w:i/>
        <w:sz w:val="20"/>
        <w:szCs w:val="20"/>
      </w:rPr>
      <w:instrText xml:space="preserve"> PAGE </w:instrText>
    </w:r>
    <w:r w:rsidRPr="00FB07BA">
      <w:rPr>
        <w:i/>
        <w:sz w:val="20"/>
        <w:szCs w:val="20"/>
      </w:rPr>
      <w:fldChar w:fldCharType="separate"/>
    </w:r>
    <w:r w:rsidR="00C13634">
      <w:rPr>
        <w:i/>
        <w:noProof/>
        <w:sz w:val="20"/>
        <w:szCs w:val="20"/>
      </w:rPr>
      <w:t>2</w:t>
    </w:r>
    <w:r w:rsidRPr="00FB07BA">
      <w:rPr>
        <w: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DC30" w14:textId="4AF92D1E" w:rsidR="00A92397" w:rsidRPr="00FB07BA" w:rsidRDefault="00A92397" w:rsidP="00422A43">
    <w:pPr>
      <w:pBdr>
        <w:top w:val="single" w:sz="4" w:space="1" w:color="auto"/>
      </w:pBdr>
      <w:tabs>
        <w:tab w:val="right" w:pos="9360"/>
      </w:tabs>
      <w:rPr>
        <w:i/>
        <w:sz w:val="20"/>
        <w:szCs w:val="20"/>
      </w:rPr>
    </w:pPr>
    <w:r w:rsidRPr="00FB07BA">
      <w:rPr>
        <w:i/>
        <w:sz w:val="20"/>
        <w:szCs w:val="20"/>
      </w:rPr>
      <w:t>The Multilateral Fund Secretariat</w:t>
    </w:r>
    <w:r w:rsidRPr="00FB07BA">
      <w:rPr>
        <w:i/>
        <w:sz w:val="20"/>
        <w:szCs w:val="20"/>
      </w:rPr>
      <w:tab/>
    </w:r>
    <w:r w:rsidRPr="00FB07BA">
      <w:rPr>
        <w:i/>
        <w:sz w:val="20"/>
        <w:szCs w:val="20"/>
      </w:rPr>
      <w:fldChar w:fldCharType="begin"/>
    </w:r>
    <w:r w:rsidRPr="00FB07BA">
      <w:rPr>
        <w:i/>
        <w:sz w:val="20"/>
        <w:szCs w:val="20"/>
      </w:rPr>
      <w:instrText xml:space="preserve"> PAGE </w:instrText>
    </w:r>
    <w:r w:rsidRPr="00FB07BA">
      <w:rPr>
        <w:i/>
        <w:sz w:val="20"/>
        <w:szCs w:val="20"/>
      </w:rPr>
      <w:fldChar w:fldCharType="separate"/>
    </w:r>
    <w:r w:rsidR="00C13634">
      <w:rPr>
        <w:i/>
        <w:noProof/>
        <w:sz w:val="20"/>
        <w:szCs w:val="20"/>
      </w:rPr>
      <w:t>1</w:t>
    </w:r>
    <w:r w:rsidRPr="00FB07BA">
      <w:rPr>
        <w:i/>
        <w:sz w:val="20"/>
        <w:szCs w:val="20"/>
      </w:rPr>
      <w:fldChar w:fldCharType="end"/>
    </w:r>
  </w:p>
  <w:p w14:paraId="6335F58D" w14:textId="77777777" w:rsidR="00A92397" w:rsidRDefault="00A92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E112" w14:textId="77777777" w:rsidR="00721493" w:rsidRDefault="00721493" w:rsidP="00FE315B">
      <w:r>
        <w:separator/>
      </w:r>
    </w:p>
  </w:footnote>
  <w:footnote w:type="continuationSeparator" w:id="0">
    <w:p w14:paraId="768C68E4" w14:textId="77777777" w:rsidR="00721493" w:rsidRDefault="00721493" w:rsidP="00FE315B">
      <w:r>
        <w:continuationSeparator/>
      </w:r>
    </w:p>
  </w:footnote>
  <w:footnote w:type="continuationNotice" w:id="1">
    <w:p w14:paraId="4D3152C3" w14:textId="77777777" w:rsidR="00721493" w:rsidRDefault="00721493"/>
  </w:footnote>
  <w:footnote w:id="2">
    <w:p w14:paraId="011D4522" w14:textId="3BB45007" w:rsidR="00C006D9" w:rsidRPr="00C006D9" w:rsidRDefault="00C006D9">
      <w:pPr>
        <w:pStyle w:val="FootnoteText"/>
      </w:pPr>
      <w:r>
        <w:rPr>
          <w:rStyle w:val="FootnoteReference"/>
        </w:rPr>
        <w:footnoteRef/>
      </w:r>
      <w:r>
        <w:t xml:space="preserve"> Balance by 31 </w:t>
      </w:r>
      <w:proofErr w:type="gramStart"/>
      <w:r>
        <w:t>August,</w:t>
      </w:r>
      <w:proofErr w:type="gramEnd"/>
      <w:r>
        <w:t xml:space="preserve"> 202</w:t>
      </w:r>
      <w:r w:rsidR="00CA4046">
        <w:t>4</w:t>
      </w:r>
    </w:p>
  </w:footnote>
  <w:footnote w:id="3">
    <w:p w14:paraId="2BB5B26B" w14:textId="73F9692B" w:rsidR="009D5232" w:rsidRPr="009D5232" w:rsidRDefault="009D5232">
      <w:pPr>
        <w:pStyle w:val="FootnoteText"/>
        <w:rPr>
          <w:lang w:val="en-US"/>
        </w:rPr>
      </w:pPr>
      <w:r>
        <w:rPr>
          <w:rStyle w:val="FootnoteReference"/>
        </w:rPr>
        <w:footnoteRef/>
      </w:r>
      <w:r w:rsidR="00F94121">
        <w:t xml:space="preserve"> There will be no</w:t>
      </w:r>
      <w:r>
        <w:rPr>
          <w:lang w:val="en-US"/>
        </w:rPr>
        <w:t xml:space="preserve"> remaining</w:t>
      </w:r>
      <w:r w:rsidR="00F94121">
        <w:rPr>
          <w:lang w:val="en-US"/>
        </w:rPr>
        <w:t xml:space="preserve"> of the 1</w:t>
      </w:r>
      <w:r w:rsidR="00F94121" w:rsidRPr="00F94121">
        <w:rPr>
          <w:vertAlign w:val="superscript"/>
          <w:lang w:val="en-US"/>
        </w:rPr>
        <w:t>st</w:t>
      </w:r>
      <w:r w:rsidR="00F94121">
        <w:rPr>
          <w:lang w:val="en-US"/>
        </w:rPr>
        <w:t xml:space="preserve"> tranche by the end of </w:t>
      </w:r>
      <w:proofErr w:type="gramStart"/>
      <w:r>
        <w:rPr>
          <w:lang w:val="en-US"/>
        </w:rPr>
        <w:t>December,</w:t>
      </w:r>
      <w:proofErr w:type="gramEnd"/>
      <w:r>
        <w:rPr>
          <w:lang w:val="en-US"/>
        </w:rPr>
        <w:t xml:space="preserve"> 2024</w:t>
      </w:r>
      <w:r w:rsidR="00F94121">
        <w:rPr>
          <w:lang w:val="en-US"/>
        </w:rPr>
        <w:t xml:space="preserve"> – End of the HPMP – II tranche 1.</w:t>
      </w:r>
    </w:p>
  </w:footnote>
  <w:footnote w:id="4">
    <w:p w14:paraId="5B469CD8" w14:textId="07C2775B" w:rsidR="00A92397" w:rsidRPr="006F1896" w:rsidRDefault="00A92397" w:rsidP="000E78AF">
      <w:pPr>
        <w:pStyle w:val="FootnoteText"/>
        <w:rPr>
          <w:lang w:val="en-US"/>
        </w:rPr>
      </w:pPr>
    </w:p>
  </w:footnote>
  <w:footnote w:id="5">
    <w:p w14:paraId="3EFBF7CA" w14:textId="77777777" w:rsidR="00A92397" w:rsidRPr="006F1896" w:rsidRDefault="00A92397" w:rsidP="000E78AF">
      <w:pPr>
        <w:pStyle w:val="FootnoteText"/>
        <w:rPr>
          <w:lang w:val="en-US"/>
        </w:rPr>
      </w:pPr>
      <w:r>
        <w:rPr>
          <w:rStyle w:val="FootnoteReference"/>
        </w:rPr>
        <w:footnoteRef/>
      </w:r>
      <w:r>
        <w:t xml:space="preserve"> </w:t>
      </w:r>
      <w:r w:rsidRPr="006F1896">
        <w:t>UNEP/</w:t>
      </w:r>
      <w:proofErr w:type="spellStart"/>
      <w:r w:rsidRPr="006F1896">
        <w:t>OzL.Pro</w:t>
      </w:r>
      <w:proofErr w:type="spellEnd"/>
      <w:r w:rsidRPr="006F1896">
        <w:t>/ExCom/84/73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CF06" w14:textId="77777777" w:rsidR="00A92397" w:rsidRPr="00234CDD" w:rsidRDefault="00A92397" w:rsidP="00FE315B">
    <w:pPr>
      <w:pStyle w:val="Header"/>
      <w:pBdr>
        <w:bottom w:val="single" w:sz="4" w:space="1" w:color="auto"/>
      </w:pBdr>
      <w:jc w:val="center"/>
    </w:pPr>
    <w:r>
      <w:rPr>
        <w:rFonts w:ascii="Times Roman" w:hAnsi="Times Roman"/>
        <w:i/>
        <w:spacing w:val="-2"/>
        <w:sz w:val="19"/>
      </w:rPr>
      <w:t>Guide for the presenta</w:t>
    </w:r>
    <w:r w:rsidRPr="00234CDD">
      <w:rPr>
        <w:rFonts w:ascii="Times Roman" w:hAnsi="Times Roman"/>
        <w:i/>
        <w:spacing w:val="-2"/>
        <w:sz w:val="19"/>
      </w:rPr>
      <w:t>tion of HPMP</w:t>
    </w:r>
    <w:r w:rsidRPr="005B79EE">
      <w:rPr>
        <w:rFonts w:ascii="Times Roman" w:hAnsi="Times Roman"/>
        <w:i/>
        <w:spacing w:val="-2"/>
        <w:sz w:val="19"/>
      </w:rPr>
      <w:t xml:space="preserve"> </w:t>
    </w:r>
    <w:r>
      <w:rPr>
        <w:rFonts w:ascii="Times Roman" w:hAnsi="Times Roman"/>
        <w:i/>
        <w:spacing w:val="-2"/>
        <w:sz w:val="19"/>
      </w:rPr>
      <w:t>tranches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5E35" w14:textId="7AB98900" w:rsidR="005507BC" w:rsidRPr="005C5990" w:rsidRDefault="005507BC" w:rsidP="005507BC">
    <w:pPr>
      <w:pStyle w:val="Title1"/>
      <w:rPr>
        <w:lang w:val="en-CA"/>
      </w:rPr>
    </w:pPr>
    <w:r w:rsidRPr="005C5990">
      <w:rPr>
        <w:lang w:val="en-CA"/>
      </w:rPr>
      <w:t xml:space="preserve">Multilateral Fund FOR THE </w:t>
    </w:r>
  </w:p>
  <w:p w14:paraId="0D43FA03" w14:textId="77777777" w:rsidR="005507BC" w:rsidRPr="008007BF" w:rsidRDefault="005507BC" w:rsidP="005507BC">
    <w:pPr>
      <w:pStyle w:val="Title1"/>
      <w:rPr>
        <w:lang w:val="en-CA"/>
      </w:rPr>
    </w:pPr>
    <w:r w:rsidRPr="005C5990">
      <w:rPr>
        <w:lang w:val="en-CA"/>
      </w:rPr>
      <w:t>IMPLEMENTATION OF THE MONTREAL PROTOCOL</w:t>
    </w:r>
  </w:p>
  <w:p w14:paraId="12AECFB2" w14:textId="57628C9F" w:rsidR="003D4CDF" w:rsidRDefault="003D4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DDDE" w14:textId="77777777" w:rsidR="00A92397" w:rsidRPr="00870AF4" w:rsidRDefault="00A92397" w:rsidP="00422A43">
    <w:pPr>
      <w:pBdr>
        <w:bottom w:val="single" w:sz="4" w:space="1" w:color="auto"/>
      </w:pBdr>
      <w:tabs>
        <w:tab w:val="decimal" w:pos="5760"/>
        <w:tab w:val="right" w:pos="9360"/>
      </w:tabs>
      <w:jc w:val="center"/>
      <w:rPr>
        <w:rFonts w:ascii="Times Roman" w:hAnsi="Times Roman"/>
        <w:i/>
        <w:spacing w:val="-2"/>
        <w:sz w:val="19"/>
      </w:rPr>
    </w:pPr>
    <w:r>
      <w:rPr>
        <w:rFonts w:ascii="Times Roman" w:hAnsi="Times Roman"/>
        <w:i/>
        <w:spacing w:val="-2"/>
        <w:sz w:val="19"/>
      </w:rPr>
      <w:t>G</w:t>
    </w:r>
    <w:r w:rsidRPr="00870AF4">
      <w:rPr>
        <w:rFonts w:ascii="Times Roman" w:hAnsi="Times Roman"/>
        <w:i/>
        <w:spacing w:val="-2"/>
        <w:sz w:val="19"/>
      </w:rPr>
      <w:t>uide for the pre</w:t>
    </w:r>
    <w:r>
      <w:rPr>
        <w:rFonts w:ascii="Times Roman" w:hAnsi="Times Roman"/>
        <w:i/>
        <w:spacing w:val="-2"/>
        <w:sz w:val="19"/>
      </w:rPr>
      <w:t>sentation</w:t>
    </w:r>
    <w:r w:rsidRPr="00870AF4">
      <w:rPr>
        <w:rFonts w:ascii="Times Roman" w:hAnsi="Times Roman"/>
        <w:i/>
        <w:spacing w:val="-2"/>
        <w:sz w:val="19"/>
      </w:rPr>
      <w:t xml:space="preserve"> of HPMP</w:t>
    </w:r>
    <w:r>
      <w:rPr>
        <w:rFonts w:ascii="Times Roman" w:hAnsi="Times Roman"/>
        <w:i/>
        <w:spacing w:val="-2"/>
        <w:sz w:val="19"/>
      </w:rPr>
      <w:t xml:space="preserve"> </w:t>
    </w:r>
    <w:r w:rsidRPr="00870AF4">
      <w:rPr>
        <w:rFonts w:ascii="Times Roman" w:hAnsi="Times Roman"/>
        <w:i/>
        <w:spacing w:val="-2"/>
        <w:sz w:val="19"/>
      </w:rPr>
      <w:t>tranches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49D0" w14:textId="77777777" w:rsidR="00A92397" w:rsidRPr="00870AF4" w:rsidRDefault="00A92397" w:rsidP="00422A43">
    <w:pPr>
      <w:pBdr>
        <w:bottom w:val="single" w:sz="4" w:space="1" w:color="auto"/>
      </w:pBdr>
      <w:tabs>
        <w:tab w:val="decimal" w:pos="5760"/>
        <w:tab w:val="right" w:pos="9360"/>
      </w:tabs>
      <w:jc w:val="center"/>
      <w:rPr>
        <w:rFonts w:ascii="Times Roman" w:hAnsi="Times Roman"/>
        <w:i/>
        <w:spacing w:val="-2"/>
        <w:sz w:val="19"/>
      </w:rPr>
    </w:pPr>
    <w:r>
      <w:rPr>
        <w:rFonts w:ascii="Times Roman" w:hAnsi="Times Roman"/>
        <w:i/>
        <w:spacing w:val="-2"/>
        <w:sz w:val="19"/>
      </w:rPr>
      <w:t>G</w:t>
    </w:r>
    <w:r w:rsidRPr="00870AF4">
      <w:rPr>
        <w:rFonts w:ascii="Times Roman" w:hAnsi="Times Roman"/>
        <w:i/>
        <w:spacing w:val="-2"/>
        <w:sz w:val="19"/>
      </w:rPr>
      <w:t>uide for the pre</w:t>
    </w:r>
    <w:r>
      <w:rPr>
        <w:rFonts w:ascii="Times Roman" w:hAnsi="Times Roman"/>
        <w:i/>
        <w:spacing w:val="-2"/>
        <w:sz w:val="19"/>
      </w:rPr>
      <w:t>sentat</w:t>
    </w:r>
    <w:r w:rsidRPr="00870AF4">
      <w:rPr>
        <w:rFonts w:ascii="Times Roman" w:hAnsi="Times Roman"/>
        <w:i/>
        <w:spacing w:val="-2"/>
        <w:sz w:val="19"/>
      </w:rPr>
      <w:t>ion of HPMP</w:t>
    </w:r>
    <w:r>
      <w:rPr>
        <w:rFonts w:ascii="Times Roman" w:hAnsi="Times Roman"/>
        <w:i/>
        <w:spacing w:val="-2"/>
        <w:sz w:val="19"/>
      </w:rPr>
      <w:t xml:space="preserve"> </w:t>
    </w:r>
    <w:r w:rsidRPr="00870AF4">
      <w:rPr>
        <w:rFonts w:ascii="Times Roman" w:hAnsi="Times Roman"/>
        <w:i/>
        <w:spacing w:val="-2"/>
        <w:sz w:val="19"/>
      </w:rPr>
      <w:t>tranches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2DC8" w14:textId="77777777" w:rsidR="00A92397" w:rsidRPr="00870AF4" w:rsidRDefault="00A92397" w:rsidP="00422A43">
    <w:pPr>
      <w:pBdr>
        <w:bottom w:val="single" w:sz="4" w:space="1" w:color="auto"/>
      </w:pBdr>
      <w:tabs>
        <w:tab w:val="decimal" w:pos="5760"/>
        <w:tab w:val="right" w:pos="9360"/>
      </w:tabs>
      <w:jc w:val="center"/>
      <w:rPr>
        <w:rFonts w:ascii="Times Roman" w:hAnsi="Times Roman"/>
        <w:i/>
        <w:spacing w:val="-2"/>
        <w:sz w:val="19"/>
      </w:rPr>
    </w:pPr>
    <w:r>
      <w:rPr>
        <w:rFonts w:ascii="Times Roman" w:hAnsi="Times Roman"/>
        <w:i/>
        <w:spacing w:val="-2"/>
        <w:sz w:val="19"/>
      </w:rPr>
      <w:t>G</w:t>
    </w:r>
    <w:r w:rsidRPr="00870AF4">
      <w:rPr>
        <w:rFonts w:ascii="Times Roman" w:hAnsi="Times Roman"/>
        <w:i/>
        <w:spacing w:val="-2"/>
        <w:sz w:val="19"/>
      </w:rPr>
      <w:t>uide for the pre</w:t>
    </w:r>
    <w:r>
      <w:rPr>
        <w:rFonts w:ascii="Times Roman" w:hAnsi="Times Roman"/>
        <w:i/>
        <w:spacing w:val="-2"/>
        <w:sz w:val="19"/>
      </w:rPr>
      <w:t>sentation</w:t>
    </w:r>
    <w:r w:rsidRPr="00870AF4">
      <w:rPr>
        <w:rFonts w:ascii="Times Roman" w:hAnsi="Times Roman"/>
        <w:i/>
        <w:spacing w:val="-2"/>
        <w:sz w:val="19"/>
      </w:rPr>
      <w:t xml:space="preserve"> of HPMP</w:t>
    </w:r>
    <w:r>
      <w:rPr>
        <w:rFonts w:ascii="Times Roman" w:hAnsi="Times Roman"/>
        <w:i/>
        <w:spacing w:val="-2"/>
        <w:sz w:val="19"/>
      </w:rPr>
      <w:t xml:space="preserve"> tranches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2E76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F638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1A3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32B5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27AF7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B6E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EEBB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C453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7E27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256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522C3"/>
    <w:multiLevelType w:val="multilevel"/>
    <w:tmpl w:val="EB384A5E"/>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080" w:hanging="72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440" w:hanging="1080"/>
      </w:pPr>
      <w:rPr>
        <w:rFonts w:ascii="Times New Roman" w:hAnsi="Times New Roman" w:hint="default"/>
      </w:rPr>
    </w:lvl>
    <w:lvl w:ilvl="7">
      <w:start w:val="1"/>
      <w:numFmt w:val="decimal"/>
      <w:isLgl/>
      <w:lvlText w:val="%1.%2.%3.%4.%5.%6.%7.%8."/>
      <w:lvlJc w:val="left"/>
      <w:pPr>
        <w:ind w:left="1440" w:hanging="1080"/>
      </w:pPr>
      <w:rPr>
        <w:rFonts w:ascii="Times New Roman" w:hAnsi="Times New Roman" w:hint="default"/>
      </w:rPr>
    </w:lvl>
    <w:lvl w:ilvl="8">
      <w:start w:val="1"/>
      <w:numFmt w:val="decimal"/>
      <w:isLgl/>
      <w:lvlText w:val="%1.%2.%3.%4.%5.%6.%7.%8.%9."/>
      <w:lvlJc w:val="left"/>
      <w:pPr>
        <w:ind w:left="1800" w:hanging="1440"/>
      </w:pPr>
      <w:rPr>
        <w:rFonts w:ascii="Times New Roman" w:hAnsi="Times New Roman" w:hint="default"/>
      </w:rPr>
    </w:lvl>
  </w:abstractNum>
  <w:abstractNum w:abstractNumId="11" w15:restartNumberingAfterBreak="0">
    <w:nsid w:val="259F0326"/>
    <w:multiLevelType w:val="hybridMultilevel"/>
    <w:tmpl w:val="F4807234"/>
    <w:lvl w:ilvl="0" w:tplc="A5FC2434">
      <w:start w:val="1"/>
      <w:numFmt w:val="bullet"/>
      <w:lvlText w:val=""/>
      <w:lvlJc w:val="left"/>
      <w:pPr>
        <w:ind w:left="288" w:hanging="216"/>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E460D0"/>
    <w:multiLevelType w:val="hybridMultilevel"/>
    <w:tmpl w:val="B4E8B1DE"/>
    <w:lvl w:ilvl="0" w:tplc="04090013">
      <w:start w:val="1"/>
      <w:numFmt w:val="upperRoman"/>
      <w:lvlText w:val="%1."/>
      <w:lvlJc w:val="right"/>
      <w:pPr>
        <w:ind w:left="720" w:hanging="360"/>
      </w:pPr>
      <w:rPr>
        <w:rFonts w:hint="default"/>
      </w:rPr>
    </w:lvl>
    <w:lvl w:ilvl="1" w:tplc="8C9E1E5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B3B06"/>
    <w:multiLevelType w:val="hybridMultilevel"/>
    <w:tmpl w:val="33CC9860"/>
    <w:lvl w:ilvl="0" w:tplc="A5FC2434">
      <w:start w:val="1"/>
      <w:numFmt w:val="bullet"/>
      <w:lvlText w:val=""/>
      <w:lvlJc w:val="left"/>
      <w:pPr>
        <w:ind w:left="288" w:hanging="216"/>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C6015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E85967"/>
    <w:multiLevelType w:val="hybridMultilevel"/>
    <w:tmpl w:val="00540F04"/>
    <w:lvl w:ilvl="0" w:tplc="A5FC2434">
      <w:start w:val="1"/>
      <w:numFmt w:val="bullet"/>
      <w:lvlText w:val=""/>
      <w:lvlJc w:val="left"/>
      <w:pPr>
        <w:ind w:left="288" w:hanging="216"/>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E60BF3"/>
    <w:multiLevelType w:val="hybridMultilevel"/>
    <w:tmpl w:val="1262A3EA"/>
    <w:lvl w:ilvl="0" w:tplc="4B72C9FC">
      <w:start w:val="1"/>
      <w:numFmt w:val="bullet"/>
      <w:lvlText w:val=""/>
      <w:lvlJc w:val="left"/>
      <w:pPr>
        <w:ind w:left="288" w:hanging="216"/>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E51FD6"/>
    <w:multiLevelType w:val="hybridMultilevel"/>
    <w:tmpl w:val="2854872E"/>
    <w:lvl w:ilvl="0" w:tplc="D70A594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F23AA9"/>
    <w:multiLevelType w:val="multilevel"/>
    <w:tmpl w:val="56E4D6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2871A4"/>
    <w:multiLevelType w:val="hybridMultilevel"/>
    <w:tmpl w:val="E4205E30"/>
    <w:lvl w:ilvl="0" w:tplc="A5FC2434">
      <w:start w:val="1"/>
      <w:numFmt w:val="bullet"/>
      <w:lvlText w:val=""/>
      <w:lvlJc w:val="left"/>
      <w:pPr>
        <w:ind w:left="288" w:hanging="216"/>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892E7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1C5462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AA6A54"/>
    <w:multiLevelType w:val="hybridMultilevel"/>
    <w:tmpl w:val="EB22233E"/>
    <w:lvl w:ilvl="0" w:tplc="4B72C9FC">
      <w:start w:val="1"/>
      <w:numFmt w:val="bullet"/>
      <w:lvlText w:val=""/>
      <w:lvlJc w:val="left"/>
      <w:pPr>
        <w:ind w:left="288" w:hanging="216"/>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9D1FE3"/>
    <w:multiLevelType w:val="hybridMultilevel"/>
    <w:tmpl w:val="AFBC58D6"/>
    <w:lvl w:ilvl="0" w:tplc="8D6499F4">
      <w:start w:val="2000"/>
      <w:numFmt w:val="bullet"/>
      <w:lvlText w:val="-"/>
      <w:lvlJc w:val="left"/>
      <w:pPr>
        <w:ind w:left="720" w:hanging="360"/>
      </w:pPr>
      <w:rPr>
        <w:rFonts w:ascii="Calibri" w:eastAsia="SimSu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735F3"/>
    <w:multiLevelType w:val="hybridMultilevel"/>
    <w:tmpl w:val="E5C8D458"/>
    <w:lvl w:ilvl="0" w:tplc="4B72C9FC">
      <w:start w:val="1"/>
      <w:numFmt w:val="bullet"/>
      <w:lvlText w:val=""/>
      <w:lvlJc w:val="left"/>
      <w:pPr>
        <w:ind w:left="288" w:hanging="216"/>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438645B"/>
    <w:multiLevelType w:val="hybridMultilevel"/>
    <w:tmpl w:val="6DEA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00F2A"/>
    <w:multiLevelType w:val="hybridMultilevel"/>
    <w:tmpl w:val="BD0C0614"/>
    <w:lvl w:ilvl="0" w:tplc="10C23008">
      <w:start w:val="1"/>
      <w:numFmt w:val="lowerLetter"/>
      <w:pStyle w:val="Header4"/>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num w:numId="1" w16cid:durableId="886334188">
    <w:abstractNumId w:val="9"/>
  </w:num>
  <w:num w:numId="2" w16cid:durableId="813838115">
    <w:abstractNumId w:val="7"/>
  </w:num>
  <w:num w:numId="3" w16cid:durableId="688723139">
    <w:abstractNumId w:val="6"/>
  </w:num>
  <w:num w:numId="4" w16cid:durableId="1832791782">
    <w:abstractNumId w:val="5"/>
  </w:num>
  <w:num w:numId="5" w16cid:durableId="147137942">
    <w:abstractNumId w:val="4"/>
  </w:num>
  <w:num w:numId="6" w16cid:durableId="522860665">
    <w:abstractNumId w:val="8"/>
  </w:num>
  <w:num w:numId="7" w16cid:durableId="1639143791">
    <w:abstractNumId w:val="3"/>
  </w:num>
  <w:num w:numId="8" w16cid:durableId="1349410476">
    <w:abstractNumId w:val="2"/>
  </w:num>
  <w:num w:numId="9" w16cid:durableId="1666517721">
    <w:abstractNumId w:val="1"/>
  </w:num>
  <w:num w:numId="10" w16cid:durableId="954867773">
    <w:abstractNumId w:val="0"/>
  </w:num>
  <w:num w:numId="11" w16cid:durableId="1785341170">
    <w:abstractNumId w:val="14"/>
  </w:num>
  <w:num w:numId="12" w16cid:durableId="2007973214">
    <w:abstractNumId w:val="20"/>
  </w:num>
  <w:num w:numId="13" w16cid:durableId="1383284421">
    <w:abstractNumId w:val="21"/>
  </w:num>
  <w:num w:numId="14" w16cid:durableId="1958028486">
    <w:abstractNumId w:val="26"/>
  </w:num>
  <w:num w:numId="15" w16cid:durableId="968048465">
    <w:abstractNumId w:val="10"/>
  </w:num>
  <w:num w:numId="16" w16cid:durableId="1556351423">
    <w:abstractNumId w:val="16"/>
  </w:num>
  <w:num w:numId="17" w16cid:durableId="1338194458">
    <w:abstractNumId w:val="22"/>
  </w:num>
  <w:num w:numId="18" w16cid:durableId="306201559">
    <w:abstractNumId w:val="24"/>
  </w:num>
  <w:num w:numId="19" w16cid:durableId="519516679">
    <w:abstractNumId w:val="15"/>
  </w:num>
  <w:num w:numId="20" w16cid:durableId="1082335420">
    <w:abstractNumId w:val="13"/>
  </w:num>
  <w:num w:numId="21" w16cid:durableId="1152137145">
    <w:abstractNumId w:val="19"/>
  </w:num>
  <w:num w:numId="22" w16cid:durableId="66810463">
    <w:abstractNumId w:val="11"/>
  </w:num>
  <w:num w:numId="23" w16cid:durableId="69890974">
    <w:abstractNumId w:val="12"/>
  </w:num>
  <w:num w:numId="24" w16cid:durableId="950892966">
    <w:abstractNumId w:val="18"/>
  </w:num>
  <w:num w:numId="25" w16cid:durableId="138310604">
    <w:abstractNumId w:val="23"/>
  </w:num>
  <w:num w:numId="26" w16cid:durableId="550114322">
    <w:abstractNumId w:val="25"/>
  </w:num>
  <w:num w:numId="27" w16cid:durableId="195606331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CA" w:vendorID="64" w:dllVersion="6" w:nlCheck="1" w:checkStyle="0"/>
  <w:activeWritingStyle w:appName="MSWord" w:lang="fr-CA" w:vendorID="64" w:dllVersion="6" w:nlCheck="1" w:checkStyle="0"/>
  <w:activeWritingStyle w:appName="MSWord" w:lang="en-CA" w:vendorID="64" w:dllVersion="0" w:nlCheck="1" w:checkStyle="0"/>
  <w:activeWritingStyle w:appName="MSWord" w:lang="en-GB" w:vendorID="64" w:dllVersion="0" w:nlCheck="1" w:checkStyle="0"/>
  <w:activeWritingStyle w:appName="MSWord" w:lang="en-IN" w:vendorID="64" w:dllVersion="0" w:nlCheck="1" w:checkStyle="0"/>
  <w:activeWritingStyle w:appName="MSWord" w:lang="en-US" w:vendorID="64" w:dllVersion="0" w:nlCheck="1" w:checkStyle="0"/>
  <w:activeWritingStyle w:appName="MSWord" w:lang="fr-CA" w:vendorID="64" w:dllVersion="0" w:nlCheck="1" w:checkStyle="0"/>
  <w:activeWritingStyle w:appName="MSWord" w:lang="en-IN" w:vendorID="64" w:dllVersion="6" w:nlCheck="1" w:checkStyle="1"/>
  <w:activeWritingStyle w:appName="MSWord" w:lang="en-CA" w:vendorID="64" w:dllVersion="4096"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ru-RU" w:vendorID="64" w:dllVersion="0" w:nlCheck="1" w:checkStyle="0"/>
  <w:activeWritingStyle w:appName="MSWord" w:lang="de-DE" w:vendorID="64" w:dllVersion="0" w:nlCheck="1" w:checkStyle="0"/>
  <w:activeWritingStyle w:appName="MSWord" w:lang="fr-FR" w:vendorID="64" w:dllVersion="0" w:nlCheck="1" w:checkStyle="0"/>
  <w:activeWritingStyle w:appName="MSWord" w:lang="ru-RU" w:vendorID="64" w:dllVersion="6" w:nlCheck="1" w:checkStyle="0"/>
  <w:activeWritingStyle w:appName="MSWord" w:lang="en-AU"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86"/>
    <w:rsid w:val="0000036A"/>
    <w:rsid w:val="00000561"/>
    <w:rsid w:val="00000E27"/>
    <w:rsid w:val="00000FED"/>
    <w:rsid w:val="000014D7"/>
    <w:rsid w:val="0000434E"/>
    <w:rsid w:val="000061E6"/>
    <w:rsid w:val="00007EAD"/>
    <w:rsid w:val="00007EDD"/>
    <w:rsid w:val="000107DC"/>
    <w:rsid w:val="000132D0"/>
    <w:rsid w:val="0001369C"/>
    <w:rsid w:val="00014652"/>
    <w:rsid w:val="000152B2"/>
    <w:rsid w:val="00015322"/>
    <w:rsid w:val="00021ADE"/>
    <w:rsid w:val="0002404C"/>
    <w:rsid w:val="00026746"/>
    <w:rsid w:val="000310C9"/>
    <w:rsid w:val="00031260"/>
    <w:rsid w:val="00033046"/>
    <w:rsid w:val="00035F0C"/>
    <w:rsid w:val="0003681A"/>
    <w:rsid w:val="00043FE8"/>
    <w:rsid w:val="0004416C"/>
    <w:rsid w:val="0004435B"/>
    <w:rsid w:val="000452EC"/>
    <w:rsid w:val="00045988"/>
    <w:rsid w:val="00046FA3"/>
    <w:rsid w:val="00047027"/>
    <w:rsid w:val="00053E7B"/>
    <w:rsid w:val="0005654D"/>
    <w:rsid w:val="00060989"/>
    <w:rsid w:val="00060F34"/>
    <w:rsid w:val="000612D6"/>
    <w:rsid w:val="00062547"/>
    <w:rsid w:val="00062BD5"/>
    <w:rsid w:val="0006490B"/>
    <w:rsid w:val="00064FF4"/>
    <w:rsid w:val="00065822"/>
    <w:rsid w:val="000663FA"/>
    <w:rsid w:val="00070250"/>
    <w:rsid w:val="00070755"/>
    <w:rsid w:val="0007167B"/>
    <w:rsid w:val="00072829"/>
    <w:rsid w:val="0007445D"/>
    <w:rsid w:val="0007486A"/>
    <w:rsid w:val="0007647C"/>
    <w:rsid w:val="000777F4"/>
    <w:rsid w:val="00080ED0"/>
    <w:rsid w:val="00081680"/>
    <w:rsid w:val="00082B12"/>
    <w:rsid w:val="00082ED3"/>
    <w:rsid w:val="000831A7"/>
    <w:rsid w:val="00084484"/>
    <w:rsid w:val="00085709"/>
    <w:rsid w:val="0008595C"/>
    <w:rsid w:val="00085B8F"/>
    <w:rsid w:val="0008603E"/>
    <w:rsid w:val="00087202"/>
    <w:rsid w:val="00090481"/>
    <w:rsid w:val="000931DC"/>
    <w:rsid w:val="00093526"/>
    <w:rsid w:val="00095919"/>
    <w:rsid w:val="00096447"/>
    <w:rsid w:val="000A099A"/>
    <w:rsid w:val="000A1000"/>
    <w:rsid w:val="000A1185"/>
    <w:rsid w:val="000A425D"/>
    <w:rsid w:val="000A62BA"/>
    <w:rsid w:val="000A6BA4"/>
    <w:rsid w:val="000B041E"/>
    <w:rsid w:val="000B08AE"/>
    <w:rsid w:val="000B0932"/>
    <w:rsid w:val="000B0ADB"/>
    <w:rsid w:val="000B33E8"/>
    <w:rsid w:val="000B4027"/>
    <w:rsid w:val="000B5D4E"/>
    <w:rsid w:val="000C042A"/>
    <w:rsid w:val="000C1656"/>
    <w:rsid w:val="000C3344"/>
    <w:rsid w:val="000C40A3"/>
    <w:rsid w:val="000C4326"/>
    <w:rsid w:val="000C440C"/>
    <w:rsid w:val="000C5237"/>
    <w:rsid w:val="000C5533"/>
    <w:rsid w:val="000C6B2F"/>
    <w:rsid w:val="000C6B52"/>
    <w:rsid w:val="000C6FC7"/>
    <w:rsid w:val="000C7903"/>
    <w:rsid w:val="000D25E5"/>
    <w:rsid w:val="000D37E3"/>
    <w:rsid w:val="000D4CAA"/>
    <w:rsid w:val="000D68E9"/>
    <w:rsid w:val="000E0536"/>
    <w:rsid w:val="000E07BC"/>
    <w:rsid w:val="000E08A4"/>
    <w:rsid w:val="000E51EC"/>
    <w:rsid w:val="000E5932"/>
    <w:rsid w:val="000E5BE0"/>
    <w:rsid w:val="000E6213"/>
    <w:rsid w:val="000E78AF"/>
    <w:rsid w:val="000F01BD"/>
    <w:rsid w:val="000F0764"/>
    <w:rsid w:val="000F1096"/>
    <w:rsid w:val="000F13B5"/>
    <w:rsid w:val="000F1F17"/>
    <w:rsid w:val="000F3539"/>
    <w:rsid w:val="000F380E"/>
    <w:rsid w:val="000F4103"/>
    <w:rsid w:val="000F5D2C"/>
    <w:rsid w:val="000F5F49"/>
    <w:rsid w:val="000F70A7"/>
    <w:rsid w:val="000F7890"/>
    <w:rsid w:val="000F78E1"/>
    <w:rsid w:val="0010081F"/>
    <w:rsid w:val="00100F69"/>
    <w:rsid w:val="0010306F"/>
    <w:rsid w:val="0010337B"/>
    <w:rsid w:val="001042B5"/>
    <w:rsid w:val="00104B45"/>
    <w:rsid w:val="001073C9"/>
    <w:rsid w:val="00110D56"/>
    <w:rsid w:val="001116E3"/>
    <w:rsid w:val="001121B7"/>
    <w:rsid w:val="0011336D"/>
    <w:rsid w:val="00114DAF"/>
    <w:rsid w:val="00115BE1"/>
    <w:rsid w:val="00120525"/>
    <w:rsid w:val="0012107C"/>
    <w:rsid w:val="001213D2"/>
    <w:rsid w:val="0012456A"/>
    <w:rsid w:val="001266A6"/>
    <w:rsid w:val="00126F50"/>
    <w:rsid w:val="0013047F"/>
    <w:rsid w:val="00131599"/>
    <w:rsid w:val="00132270"/>
    <w:rsid w:val="00132FA5"/>
    <w:rsid w:val="00133D02"/>
    <w:rsid w:val="00135980"/>
    <w:rsid w:val="00135EFD"/>
    <w:rsid w:val="001364A3"/>
    <w:rsid w:val="0014053D"/>
    <w:rsid w:val="00140ADA"/>
    <w:rsid w:val="00140BAC"/>
    <w:rsid w:val="00140CC7"/>
    <w:rsid w:val="0014166A"/>
    <w:rsid w:val="00141BA0"/>
    <w:rsid w:val="00142E08"/>
    <w:rsid w:val="00145159"/>
    <w:rsid w:val="00147AF7"/>
    <w:rsid w:val="001509E3"/>
    <w:rsid w:val="00153BC0"/>
    <w:rsid w:val="00154214"/>
    <w:rsid w:val="001555CB"/>
    <w:rsid w:val="00155DB9"/>
    <w:rsid w:val="00164931"/>
    <w:rsid w:val="00166456"/>
    <w:rsid w:val="00166FC4"/>
    <w:rsid w:val="001677AC"/>
    <w:rsid w:val="00167B1D"/>
    <w:rsid w:val="00167F0E"/>
    <w:rsid w:val="0017328B"/>
    <w:rsid w:val="00174C31"/>
    <w:rsid w:val="00174FA7"/>
    <w:rsid w:val="001765BE"/>
    <w:rsid w:val="00176DEF"/>
    <w:rsid w:val="001814DB"/>
    <w:rsid w:val="00183829"/>
    <w:rsid w:val="0018612E"/>
    <w:rsid w:val="00187EA1"/>
    <w:rsid w:val="001902B4"/>
    <w:rsid w:val="00190A61"/>
    <w:rsid w:val="00193E8C"/>
    <w:rsid w:val="00195B06"/>
    <w:rsid w:val="001A09D5"/>
    <w:rsid w:val="001A1D15"/>
    <w:rsid w:val="001A2D29"/>
    <w:rsid w:val="001A3342"/>
    <w:rsid w:val="001A3E3D"/>
    <w:rsid w:val="001A3EBF"/>
    <w:rsid w:val="001A42F0"/>
    <w:rsid w:val="001A5569"/>
    <w:rsid w:val="001A6C4A"/>
    <w:rsid w:val="001A7F68"/>
    <w:rsid w:val="001B0449"/>
    <w:rsid w:val="001B1A7E"/>
    <w:rsid w:val="001B1E40"/>
    <w:rsid w:val="001B3349"/>
    <w:rsid w:val="001B4894"/>
    <w:rsid w:val="001B48F3"/>
    <w:rsid w:val="001B4981"/>
    <w:rsid w:val="001B6422"/>
    <w:rsid w:val="001C0D05"/>
    <w:rsid w:val="001C1725"/>
    <w:rsid w:val="001C1B1C"/>
    <w:rsid w:val="001C1F58"/>
    <w:rsid w:val="001C2908"/>
    <w:rsid w:val="001C34E0"/>
    <w:rsid w:val="001C4C75"/>
    <w:rsid w:val="001C55BB"/>
    <w:rsid w:val="001C764E"/>
    <w:rsid w:val="001D032E"/>
    <w:rsid w:val="001D0E96"/>
    <w:rsid w:val="001D17FC"/>
    <w:rsid w:val="001D36A9"/>
    <w:rsid w:val="001D6081"/>
    <w:rsid w:val="001D61CA"/>
    <w:rsid w:val="001D6363"/>
    <w:rsid w:val="001E0B7E"/>
    <w:rsid w:val="001E1052"/>
    <w:rsid w:val="001E21B1"/>
    <w:rsid w:val="001E2CB2"/>
    <w:rsid w:val="001E2F93"/>
    <w:rsid w:val="001E3C00"/>
    <w:rsid w:val="001E3ED8"/>
    <w:rsid w:val="001E464F"/>
    <w:rsid w:val="001E529E"/>
    <w:rsid w:val="001E5731"/>
    <w:rsid w:val="001E5C54"/>
    <w:rsid w:val="001F2159"/>
    <w:rsid w:val="001F2E2B"/>
    <w:rsid w:val="001F5459"/>
    <w:rsid w:val="001F5695"/>
    <w:rsid w:val="001F762D"/>
    <w:rsid w:val="002008EE"/>
    <w:rsid w:val="00201266"/>
    <w:rsid w:val="002023BD"/>
    <w:rsid w:val="0020384A"/>
    <w:rsid w:val="00203CED"/>
    <w:rsid w:val="00205ED9"/>
    <w:rsid w:val="00207737"/>
    <w:rsid w:val="002112F7"/>
    <w:rsid w:val="00211DA1"/>
    <w:rsid w:val="00212AE3"/>
    <w:rsid w:val="00213633"/>
    <w:rsid w:val="002150C1"/>
    <w:rsid w:val="00223711"/>
    <w:rsid w:val="00226D7F"/>
    <w:rsid w:val="00231609"/>
    <w:rsid w:val="00231665"/>
    <w:rsid w:val="00231E3E"/>
    <w:rsid w:val="00231FBA"/>
    <w:rsid w:val="002327BC"/>
    <w:rsid w:val="00234204"/>
    <w:rsid w:val="00234F63"/>
    <w:rsid w:val="002363F0"/>
    <w:rsid w:val="00236D4E"/>
    <w:rsid w:val="00237703"/>
    <w:rsid w:val="0024060E"/>
    <w:rsid w:val="0024085C"/>
    <w:rsid w:val="00241FEF"/>
    <w:rsid w:val="00243975"/>
    <w:rsid w:val="002466E6"/>
    <w:rsid w:val="002506AA"/>
    <w:rsid w:val="00250AB0"/>
    <w:rsid w:val="002513CB"/>
    <w:rsid w:val="00253222"/>
    <w:rsid w:val="00254667"/>
    <w:rsid w:val="00254F95"/>
    <w:rsid w:val="0025579C"/>
    <w:rsid w:val="002567BE"/>
    <w:rsid w:val="0025722B"/>
    <w:rsid w:val="00257771"/>
    <w:rsid w:val="00260EAD"/>
    <w:rsid w:val="0026283C"/>
    <w:rsid w:val="00265360"/>
    <w:rsid w:val="002659CA"/>
    <w:rsid w:val="00265F3F"/>
    <w:rsid w:val="00267917"/>
    <w:rsid w:val="00267AD8"/>
    <w:rsid w:val="00267F7E"/>
    <w:rsid w:val="002726F6"/>
    <w:rsid w:val="00274DDC"/>
    <w:rsid w:val="00274FA1"/>
    <w:rsid w:val="00283201"/>
    <w:rsid w:val="00283378"/>
    <w:rsid w:val="0028352F"/>
    <w:rsid w:val="00290277"/>
    <w:rsid w:val="00290B47"/>
    <w:rsid w:val="00290CB2"/>
    <w:rsid w:val="002919FB"/>
    <w:rsid w:val="002931E8"/>
    <w:rsid w:val="00295856"/>
    <w:rsid w:val="00295BFB"/>
    <w:rsid w:val="00295ECC"/>
    <w:rsid w:val="002A2507"/>
    <w:rsid w:val="002A2CBA"/>
    <w:rsid w:val="002A368F"/>
    <w:rsid w:val="002A3C2C"/>
    <w:rsid w:val="002A4571"/>
    <w:rsid w:val="002A4CD4"/>
    <w:rsid w:val="002A4DCA"/>
    <w:rsid w:val="002A585B"/>
    <w:rsid w:val="002A6561"/>
    <w:rsid w:val="002A6AD4"/>
    <w:rsid w:val="002A6F61"/>
    <w:rsid w:val="002B001D"/>
    <w:rsid w:val="002B028A"/>
    <w:rsid w:val="002B1B8C"/>
    <w:rsid w:val="002B26E1"/>
    <w:rsid w:val="002B3360"/>
    <w:rsid w:val="002B3F12"/>
    <w:rsid w:val="002B6C67"/>
    <w:rsid w:val="002B72E9"/>
    <w:rsid w:val="002C559D"/>
    <w:rsid w:val="002C6BA4"/>
    <w:rsid w:val="002C70C0"/>
    <w:rsid w:val="002D1C2A"/>
    <w:rsid w:val="002D38AB"/>
    <w:rsid w:val="002D397B"/>
    <w:rsid w:val="002D49DD"/>
    <w:rsid w:val="002D4B37"/>
    <w:rsid w:val="002D5132"/>
    <w:rsid w:val="002D6DB4"/>
    <w:rsid w:val="002D7C5F"/>
    <w:rsid w:val="002E0169"/>
    <w:rsid w:val="002F3357"/>
    <w:rsid w:val="002F4492"/>
    <w:rsid w:val="002F45BD"/>
    <w:rsid w:val="002F60C6"/>
    <w:rsid w:val="00301379"/>
    <w:rsid w:val="00303228"/>
    <w:rsid w:val="00303859"/>
    <w:rsid w:val="0030412A"/>
    <w:rsid w:val="0030485D"/>
    <w:rsid w:val="00305C45"/>
    <w:rsid w:val="003063CB"/>
    <w:rsid w:val="003109F5"/>
    <w:rsid w:val="00311FA2"/>
    <w:rsid w:val="00312037"/>
    <w:rsid w:val="0031252F"/>
    <w:rsid w:val="00312B29"/>
    <w:rsid w:val="00316527"/>
    <w:rsid w:val="00317C87"/>
    <w:rsid w:val="00320FB5"/>
    <w:rsid w:val="003215F7"/>
    <w:rsid w:val="0032197C"/>
    <w:rsid w:val="003229A2"/>
    <w:rsid w:val="00322AFE"/>
    <w:rsid w:val="00323F2D"/>
    <w:rsid w:val="003262D8"/>
    <w:rsid w:val="003274D0"/>
    <w:rsid w:val="003276D6"/>
    <w:rsid w:val="00327897"/>
    <w:rsid w:val="00327AB5"/>
    <w:rsid w:val="003312A4"/>
    <w:rsid w:val="003320E4"/>
    <w:rsid w:val="003323E1"/>
    <w:rsid w:val="00334258"/>
    <w:rsid w:val="00334358"/>
    <w:rsid w:val="00334F24"/>
    <w:rsid w:val="003351B9"/>
    <w:rsid w:val="0033525D"/>
    <w:rsid w:val="00335FC8"/>
    <w:rsid w:val="003413E8"/>
    <w:rsid w:val="00341F02"/>
    <w:rsid w:val="00342AA3"/>
    <w:rsid w:val="00342B91"/>
    <w:rsid w:val="00344719"/>
    <w:rsid w:val="003447C4"/>
    <w:rsid w:val="00346DB4"/>
    <w:rsid w:val="003477ED"/>
    <w:rsid w:val="003509D9"/>
    <w:rsid w:val="00350D82"/>
    <w:rsid w:val="00351541"/>
    <w:rsid w:val="00351C16"/>
    <w:rsid w:val="00352F36"/>
    <w:rsid w:val="003547EA"/>
    <w:rsid w:val="00354F03"/>
    <w:rsid w:val="00355191"/>
    <w:rsid w:val="003566C9"/>
    <w:rsid w:val="00356D2F"/>
    <w:rsid w:val="00361373"/>
    <w:rsid w:val="00361C80"/>
    <w:rsid w:val="00363EE9"/>
    <w:rsid w:val="0036415A"/>
    <w:rsid w:val="00366853"/>
    <w:rsid w:val="00366B38"/>
    <w:rsid w:val="00367E86"/>
    <w:rsid w:val="00370B12"/>
    <w:rsid w:val="00370D34"/>
    <w:rsid w:val="00370D53"/>
    <w:rsid w:val="0037222B"/>
    <w:rsid w:val="0037287E"/>
    <w:rsid w:val="00372FA7"/>
    <w:rsid w:val="00374419"/>
    <w:rsid w:val="00376B5D"/>
    <w:rsid w:val="003802DB"/>
    <w:rsid w:val="0038245A"/>
    <w:rsid w:val="003827B1"/>
    <w:rsid w:val="003842E6"/>
    <w:rsid w:val="00390543"/>
    <w:rsid w:val="003908FD"/>
    <w:rsid w:val="003916B2"/>
    <w:rsid w:val="0039276D"/>
    <w:rsid w:val="00392B30"/>
    <w:rsid w:val="00393AA0"/>
    <w:rsid w:val="00394D46"/>
    <w:rsid w:val="0039510F"/>
    <w:rsid w:val="00395F92"/>
    <w:rsid w:val="003962FF"/>
    <w:rsid w:val="00397766"/>
    <w:rsid w:val="00397B3F"/>
    <w:rsid w:val="003A0A8C"/>
    <w:rsid w:val="003A3189"/>
    <w:rsid w:val="003A3758"/>
    <w:rsid w:val="003A59D8"/>
    <w:rsid w:val="003A7F76"/>
    <w:rsid w:val="003B06BC"/>
    <w:rsid w:val="003B0F20"/>
    <w:rsid w:val="003B1031"/>
    <w:rsid w:val="003B51CB"/>
    <w:rsid w:val="003B569D"/>
    <w:rsid w:val="003C02E1"/>
    <w:rsid w:val="003C213F"/>
    <w:rsid w:val="003C30E1"/>
    <w:rsid w:val="003C3C0E"/>
    <w:rsid w:val="003C56C7"/>
    <w:rsid w:val="003C7612"/>
    <w:rsid w:val="003D19A3"/>
    <w:rsid w:val="003D2974"/>
    <w:rsid w:val="003D3595"/>
    <w:rsid w:val="003D4CDF"/>
    <w:rsid w:val="003D50DD"/>
    <w:rsid w:val="003D5F79"/>
    <w:rsid w:val="003D6921"/>
    <w:rsid w:val="003D77CD"/>
    <w:rsid w:val="003E0684"/>
    <w:rsid w:val="003E0E47"/>
    <w:rsid w:val="003E1C65"/>
    <w:rsid w:val="003E3643"/>
    <w:rsid w:val="003E4871"/>
    <w:rsid w:val="003E5656"/>
    <w:rsid w:val="003E5B74"/>
    <w:rsid w:val="003E675E"/>
    <w:rsid w:val="003E7906"/>
    <w:rsid w:val="003E7DBA"/>
    <w:rsid w:val="003F2174"/>
    <w:rsid w:val="003F4572"/>
    <w:rsid w:val="003F5711"/>
    <w:rsid w:val="003F5E6F"/>
    <w:rsid w:val="003F6D38"/>
    <w:rsid w:val="003F77A4"/>
    <w:rsid w:val="003F7C93"/>
    <w:rsid w:val="003F7C99"/>
    <w:rsid w:val="003F7E75"/>
    <w:rsid w:val="003F7F60"/>
    <w:rsid w:val="00400C06"/>
    <w:rsid w:val="00402F25"/>
    <w:rsid w:val="004042AC"/>
    <w:rsid w:val="00406B22"/>
    <w:rsid w:val="0040793C"/>
    <w:rsid w:val="004114B2"/>
    <w:rsid w:val="00411861"/>
    <w:rsid w:val="00411B26"/>
    <w:rsid w:val="00412BCC"/>
    <w:rsid w:val="0041301D"/>
    <w:rsid w:val="004134DA"/>
    <w:rsid w:val="00415525"/>
    <w:rsid w:val="00417647"/>
    <w:rsid w:val="00417B5B"/>
    <w:rsid w:val="004208A5"/>
    <w:rsid w:val="00421562"/>
    <w:rsid w:val="0042275D"/>
    <w:rsid w:val="00422A43"/>
    <w:rsid w:val="00423F90"/>
    <w:rsid w:val="004261A1"/>
    <w:rsid w:val="0043325E"/>
    <w:rsid w:val="00434C74"/>
    <w:rsid w:val="004355E7"/>
    <w:rsid w:val="00435A14"/>
    <w:rsid w:val="004370EE"/>
    <w:rsid w:val="00440CAE"/>
    <w:rsid w:val="00441ED8"/>
    <w:rsid w:val="00443C30"/>
    <w:rsid w:val="0044405B"/>
    <w:rsid w:val="00444070"/>
    <w:rsid w:val="00444996"/>
    <w:rsid w:val="004449FA"/>
    <w:rsid w:val="00444AC3"/>
    <w:rsid w:val="00446AE0"/>
    <w:rsid w:val="00446B5C"/>
    <w:rsid w:val="004500EB"/>
    <w:rsid w:val="0045134E"/>
    <w:rsid w:val="00451414"/>
    <w:rsid w:val="004515E0"/>
    <w:rsid w:val="004526AB"/>
    <w:rsid w:val="004533D4"/>
    <w:rsid w:val="0045532E"/>
    <w:rsid w:val="00455502"/>
    <w:rsid w:val="00455CE5"/>
    <w:rsid w:val="00456B2B"/>
    <w:rsid w:val="00456CC3"/>
    <w:rsid w:val="00456EB4"/>
    <w:rsid w:val="00461715"/>
    <w:rsid w:val="00463EAF"/>
    <w:rsid w:val="00465675"/>
    <w:rsid w:val="00466480"/>
    <w:rsid w:val="00467FC5"/>
    <w:rsid w:val="00471EDD"/>
    <w:rsid w:val="00471F08"/>
    <w:rsid w:val="00472F15"/>
    <w:rsid w:val="004735A9"/>
    <w:rsid w:val="004736F6"/>
    <w:rsid w:val="00474537"/>
    <w:rsid w:val="00475040"/>
    <w:rsid w:val="00475706"/>
    <w:rsid w:val="0048009A"/>
    <w:rsid w:val="0048010E"/>
    <w:rsid w:val="004805BA"/>
    <w:rsid w:val="00480D51"/>
    <w:rsid w:val="004830AB"/>
    <w:rsid w:val="004833EA"/>
    <w:rsid w:val="00483BFE"/>
    <w:rsid w:val="00484F28"/>
    <w:rsid w:val="00485A91"/>
    <w:rsid w:val="00485F2D"/>
    <w:rsid w:val="00493D40"/>
    <w:rsid w:val="0049537E"/>
    <w:rsid w:val="004970A4"/>
    <w:rsid w:val="00497EAC"/>
    <w:rsid w:val="004A0716"/>
    <w:rsid w:val="004A25A5"/>
    <w:rsid w:val="004A3D3B"/>
    <w:rsid w:val="004A475F"/>
    <w:rsid w:val="004A6017"/>
    <w:rsid w:val="004A60B9"/>
    <w:rsid w:val="004A78AA"/>
    <w:rsid w:val="004B345A"/>
    <w:rsid w:val="004B375B"/>
    <w:rsid w:val="004B38B6"/>
    <w:rsid w:val="004B3BA5"/>
    <w:rsid w:val="004B3E3C"/>
    <w:rsid w:val="004B5260"/>
    <w:rsid w:val="004B70A1"/>
    <w:rsid w:val="004C0A21"/>
    <w:rsid w:val="004C1936"/>
    <w:rsid w:val="004C1D26"/>
    <w:rsid w:val="004C396B"/>
    <w:rsid w:val="004C4097"/>
    <w:rsid w:val="004C4269"/>
    <w:rsid w:val="004C7349"/>
    <w:rsid w:val="004C7F15"/>
    <w:rsid w:val="004D02A5"/>
    <w:rsid w:val="004D099D"/>
    <w:rsid w:val="004D2039"/>
    <w:rsid w:val="004D48C4"/>
    <w:rsid w:val="004D52C8"/>
    <w:rsid w:val="004D56D6"/>
    <w:rsid w:val="004D6071"/>
    <w:rsid w:val="004D6236"/>
    <w:rsid w:val="004D69B2"/>
    <w:rsid w:val="004D7330"/>
    <w:rsid w:val="004E03DA"/>
    <w:rsid w:val="004E0777"/>
    <w:rsid w:val="004E169D"/>
    <w:rsid w:val="004E2969"/>
    <w:rsid w:val="004E3762"/>
    <w:rsid w:val="004E4DBB"/>
    <w:rsid w:val="004E6614"/>
    <w:rsid w:val="004E71D6"/>
    <w:rsid w:val="004F0387"/>
    <w:rsid w:val="004F0FD1"/>
    <w:rsid w:val="004F2D93"/>
    <w:rsid w:val="004F32E7"/>
    <w:rsid w:val="004F3493"/>
    <w:rsid w:val="004F405D"/>
    <w:rsid w:val="004F570C"/>
    <w:rsid w:val="004F6A70"/>
    <w:rsid w:val="00501036"/>
    <w:rsid w:val="00501F8A"/>
    <w:rsid w:val="0050412C"/>
    <w:rsid w:val="00506B86"/>
    <w:rsid w:val="005075F8"/>
    <w:rsid w:val="00512B09"/>
    <w:rsid w:val="005216B2"/>
    <w:rsid w:val="00522D7E"/>
    <w:rsid w:val="00523C9E"/>
    <w:rsid w:val="005252F1"/>
    <w:rsid w:val="0053205E"/>
    <w:rsid w:val="00532B63"/>
    <w:rsid w:val="00532C3E"/>
    <w:rsid w:val="005368F5"/>
    <w:rsid w:val="00537E2A"/>
    <w:rsid w:val="00537F23"/>
    <w:rsid w:val="00540AC9"/>
    <w:rsid w:val="00541770"/>
    <w:rsid w:val="0054195F"/>
    <w:rsid w:val="005437DA"/>
    <w:rsid w:val="00545113"/>
    <w:rsid w:val="0054552E"/>
    <w:rsid w:val="005466E0"/>
    <w:rsid w:val="0054680B"/>
    <w:rsid w:val="00547220"/>
    <w:rsid w:val="00547F81"/>
    <w:rsid w:val="005507BC"/>
    <w:rsid w:val="0055097B"/>
    <w:rsid w:val="0055470A"/>
    <w:rsid w:val="00560DF0"/>
    <w:rsid w:val="0056174D"/>
    <w:rsid w:val="0056183F"/>
    <w:rsid w:val="00562954"/>
    <w:rsid w:val="00563FD0"/>
    <w:rsid w:val="005652E6"/>
    <w:rsid w:val="0056550C"/>
    <w:rsid w:val="0056655C"/>
    <w:rsid w:val="00567014"/>
    <w:rsid w:val="005675EB"/>
    <w:rsid w:val="00570436"/>
    <w:rsid w:val="0057068F"/>
    <w:rsid w:val="005716BD"/>
    <w:rsid w:val="0057219F"/>
    <w:rsid w:val="00572D2F"/>
    <w:rsid w:val="00573725"/>
    <w:rsid w:val="00573C8F"/>
    <w:rsid w:val="00575D99"/>
    <w:rsid w:val="005764CE"/>
    <w:rsid w:val="005772BF"/>
    <w:rsid w:val="00577681"/>
    <w:rsid w:val="005807C0"/>
    <w:rsid w:val="00580D8B"/>
    <w:rsid w:val="0058290C"/>
    <w:rsid w:val="005840B5"/>
    <w:rsid w:val="00587733"/>
    <w:rsid w:val="00591C77"/>
    <w:rsid w:val="005920DE"/>
    <w:rsid w:val="00592B4B"/>
    <w:rsid w:val="0059625A"/>
    <w:rsid w:val="005A06BA"/>
    <w:rsid w:val="005A07D6"/>
    <w:rsid w:val="005A38DD"/>
    <w:rsid w:val="005A39D7"/>
    <w:rsid w:val="005A4AF8"/>
    <w:rsid w:val="005B11FD"/>
    <w:rsid w:val="005B20C0"/>
    <w:rsid w:val="005B3991"/>
    <w:rsid w:val="005B48FF"/>
    <w:rsid w:val="005B4900"/>
    <w:rsid w:val="005B4E4A"/>
    <w:rsid w:val="005B61E4"/>
    <w:rsid w:val="005B6799"/>
    <w:rsid w:val="005B79EE"/>
    <w:rsid w:val="005C5E9D"/>
    <w:rsid w:val="005C641C"/>
    <w:rsid w:val="005D018D"/>
    <w:rsid w:val="005D11E5"/>
    <w:rsid w:val="005D1B75"/>
    <w:rsid w:val="005D2496"/>
    <w:rsid w:val="005D3462"/>
    <w:rsid w:val="005D3BDE"/>
    <w:rsid w:val="005D496F"/>
    <w:rsid w:val="005D5053"/>
    <w:rsid w:val="005D518D"/>
    <w:rsid w:val="005D6D83"/>
    <w:rsid w:val="005D704E"/>
    <w:rsid w:val="005D736C"/>
    <w:rsid w:val="005E5667"/>
    <w:rsid w:val="005E6B58"/>
    <w:rsid w:val="005F24B4"/>
    <w:rsid w:val="005F68F7"/>
    <w:rsid w:val="005F6D50"/>
    <w:rsid w:val="00600E2C"/>
    <w:rsid w:val="006014A1"/>
    <w:rsid w:val="0060336A"/>
    <w:rsid w:val="00603855"/>
    <w:rsid w:val="00604B58"/>
    <w:rsid w:val="00606132"/>
    <w:rsid w:val="006064C8"/>
    <w:rsid w:val="006074E7"/>
    <w:rsid w:val="006109D9"/>
    <w:rsid w:val="00611223"/>
    <w:rsid w:val="00612A8D"/>
    <w:rsid w:val="00615092"/>
    <w:rsid w:val="006153C9"/>
    <w:rsid w:val="006158D5"/>
    <w:rsid w:val="006164A2"/>
    <w:rsid w:val="00621998"/>
    <w:rsid w:val="0062250B"/>
    <w:rsid w:val="00623029"/>
    <w:rsid w:val="0062335F"/>
    <w:rsid w:val="00624150"/>
    <w:rsid w:val="00625D83"/>
    <w:rsid w:val="00626F53"/>
    <w:rsid w:val="006304C8"/>
    <w:rsid w:val="006334A7"/>
    <w:rsid w:val="00636976"/>
    <w:rsid w:val="00640A81"/>
    <w:rsid w:val="00641511"/>
    <w:rsid w:val="0064159B"/>
    <w:rsid w:val="00642702"/>
    <w:rsid w:val="0064340E"/>
    <w:rsid w:val="0064376F"/>
    <w:rsid w:val="00643BB5"/>
    <w:rsid w:val="00646069"/>
    <w:rsid w:val="00646B19"/>
    <w:rsid w:val="0064752B"/>
    <w:rsid w:val="006551E7"/>
    <w:rsid w:val="00655713"/>
    <w:rsid w:val="00656F5C"/>
    <w:rsid w:val="00660E0B"/>
    <w:rsid w:val="00661EB5"/>
    <w:rsid w:val="00662466"/>
    <w:rsid w:val="00662B80"/>
    <w:rsid w:val="00664CC7"/>
    <w:rsid w:val="00664FDC"/>
    <w:rsid w:val="0066554C"/>
    <w:rsid w:val="00670B0F"/>
    <w:rsid w:val="0067163B"/>
    <w:rsid w:val="00671BA1"/>
    <w:rsid w:val="00672C26"/>
    <w:rsid w:val="006738B3"/>
    <w:rsid w:val="00674529"/>
    <w:rsid w:val="0067542E"/>
    <w:rsid w:val="00675735"/>
    <w:rsid w:val="00676909"/>
    <w:rsid w:val="00676D7C"/>
    <w:rsid w:val="00680851"/>
    <w:rsid w:val="006828AF"/>
    <w:rsid w:val="00682DBD"/>
    <w:rsid w:val="00683005"/>
    <w:rsid w:val="006835FA"/>
    <w:rsid w:val="00686AED"/>
    <w:rsid w:val="00686FF0"/>
    <w:rsid w:val="00687F4D"/>
    <w:rsid w:val="006911EB"/>
    <w:rsid w:val="00691E22"/>
    <w:rsid w:val="006977F1"/>
    <w:rsid w:val="00697AC4"/>
    <w:rsid w:val="006A00ED"/>
    <w:rsid w:val="006A046A"/>
    <w:rsid w:val="006A064A"/>
    <w:rsid w:val="006A0825"/>
    <w:rsid w:val="006A190F"/>
    <w:rsid w:val="006A347B"/>
    <w:rsid w:val="006A5376"/>
    <w:rsid w:val="006B2F61"/>
    <w:rsid w:val="006B3600"/>
    <w:rsid w:val="006B41EE"/>
    <w:rsid w:val="006B6777"/>
    <w:rsid w:val="006B7207"/>
    <w:rsid w:val="006C23F9"/>
    <w:rsid w:val="006C45A7"/>
    <w:rsid w:val="006C759F"/>
    <w:rsid w:val="006D0729"/>
    <w:rsid w:val="006D2812"/>
    <w:rsid w:val="006D2CA4"/>
    <w:rsid w:val="006D4BF3"/>
    <w:rsid w:val="006D5BC5"/>
    <w:rsid w:val="006D6A64"/>
    <w:rsid w:val="006D78A4"/>
    <w:rsid w:val="006D79B4"/>
    <w:rsid w:val="006D7BC4"/>
    <w:rsid w:val="006E0A17"/>
    <w:rsid w:val="006E0F4A"/>
    <w:rsid w:val="006E3B30"/>
    <w:rsid w:val="006E4B2A"/>
    <w:rsid w:val="006E5B6E"/>
    <w:rsid w:val="006E62AF"/>
    <w:rsid w:val="006F0BA0"/>
    <w:rsid w:val="006F155A"/>
    <w:rsid w:val="006F1C2C"/>
    <w:rsid w:val="006F1D81"/>
    <w:rsid w:val="006F3036"/>
    <w:rsid w:val="006F533C"/>
    <w:rsid w:val="006F5B2C"/>
    <w:rsid w:val="006F5F0D"/>
    <w:rsid w:val="006F6C8E"/>
    <w:rsid w:val="006F7C02"/>
    <w:rsid w:val="006F7E5B"/>
    <w:rsid w:val="00700590"/>
    <w:rsid w:val="007033C2"/>
    <w:rsid w:val="00704CC8"/>
    <w:rsid w:val="0070616B"/>
    <w:rsid w:val="00706FDA"/>
    <w:rsid w:val="007076E7"/>
    <w:rsid w:val="0070797C"/>
    <w:rsid w:val="00711F9A"/>
    <w:rsid w:val="00713810"/>
    <w:rsid w:val="00714BB0"/>
    <w:rsid w:val="007150D8"/>
    <w:rsid w:val="007154DB"/>
    <w:rsid w:val="0071786B"/>
    <w:rsid w:val="00717C41"/>
    <w:rsid w:val="007207EB"/>
    <w:rsid w:val="00720B1A"/>
    <w:rsid w:val="00721326"/>
    <w:rsid w:val="00721493"/>
    <w:rsid w:val="007224BC"/>
    <w:rsid w:val="007236C5"/>
    <w:rsid w:val="00723F30"/>
    <w:rsid w:val="00724724"/>
    <w:rsid w:val="00725AB4"/>
    <w:rsid w:val="00725E76"/>
    <w:rsid w:val="007303A5"/>
    <w:rsid w:val="00731799"/>
    <w:rsid w:val="00731D12"/>
    <w:rsid w:val="0073294F"/>
    <w:rsid w:val="007339A8"/>
    <w:rsid w:val="00733A68"/>
    <w:rsid w:val="0073420B"/>
    <w:rsid w:val="00736AC6"/>
    <w:rsid w:val="00741DC4"/>
    <w:rsid w:val="00742C79"/>
    <w:rsid w:val="00742FEB"/>
    <w:rsid w:val="00743020"/>
    <w:rsid w:val="00745708"/>
    <w:rsid w:val="00745E11"/>
    <w:rsid w:val="0074760E"/>
    <w:rsid w:val="0074793D"/>
    <w:rsid w:val="00752A32"/>
    <w:rsid w:val="00752C68"/>
    <w:rsid w:val="0075306A"/>
    <w:rsid w:val="007535E3"/>
    <w:rsid w:val="00754ABA"/>
    <w:rsid w:val="00756E3C"/>
    <w:rsid w:val="00757C43"/>
    <w:rsid w:val="00762B5D"/>
    <w:rsid w:val="00763DE1"/>
    <w:rsid w:val="00763EE5"/>
    <w:rsid w:val="00764A25"/>
    <w:rsid w:val="0076515D"/>
    <w:rsid w:val="00765AF4"/>
    <w:rsid w:val="00765DE4"/>
    <w:rsid w:val="00765DEA"/>
    <w:rsid w:val="007663B5"/>
    <w:rsid w:val="00766828"/>
    <w:rsid w:val="007671B5"/>
    <w:rsid w:val="00767AC8"/>
    <w:rsid w:val="00776015"/>
    <w:rsid w:val="0078031C"/>
    <w:rsid w:val="0078301A"/>
    <w:rsid w:val="0078351A"/>
    <w:rsid w:val="007867B1"/>
    <w:rsid w:val="0078741B"/>
    <w:rsid w:val="007947CC"/>
    <w:rsid w:val="00797BD1"/>
    <w:rsid w:val="007A1546"/>
    <w:rsid w:val="007A228C"/>
    <w:rsid w:val="007A368E"/>
    <w:rsid w:val="007A3884"/>
    <w:rsid w:val="007A5D30"/>
    <w:rsid w:val="007B0452"/>
    <w:rsid w:val="007B04CE"/>
    <w:rsid w:val="007B0C2F"/>
    <w:rsid w:val="007B2AF8"/>
    <w:rsid w:val="007B6E06"/>
    <w:rsid w:val="007C254D"/>
    <w:rsid w:val="007C3D2B"/>
    <w:rsid w:val="007C3D33"/>
    <w:rsid w:val="007C591E"/>
    <w:rsid w:val="007C6F1B"/>
    <w:rsid w:val="007C7730"/>
    <w:rsid w:val="007C783D"/>
    <w:rsid w:val="007C7B25"/>
    <w:rsid w:val="007D0BB6"/>
    <w:rsid w:val="007D16D6"/>
    <w:rsid w:val="007D1D88"/>
    <w:rsid w:val="007D364A"/>
    <w:rsid w:val="007D44DB"/>
    <w:rsid w:val="007D47D2"/>
    <w:rsid w:val="007D503E"/>
    <w:rsid w:val="007D5A42"/>
    <w:rsid w:val="007D6A1F"/>
    <w:rsid w:val="007D79E7"/>
    <w:rsid w:val="007E0704"/>
    <w:rsid w:val="007E39E0"/>
    <w:rsid w:val="007E3F13"/>
    <w:rsid w:val="007E5020"/>
    <w:rsid w:val="007E5603"/>
    <w:rsid w:val="007E73F4"/>
    <w:rsid w:val="007F4B52"/>
    <w:rsid w:val="007F4BCB"/>
    <w:rsid w:val="007F4D02"/>
    <w:rsid w:val="00801DE4"/>
    <w:rsid w:val="0080232B"/>
    <w:rsid w:val="00802697"/>
    <w:rsid w:val="00803749"/>
    <w:rsid w:val="008055C8"/>
    <w:rsid w:val="00805ACA"/>
    <w:rsid w:val="00806AA2"/>
    <w:rsid w:val="00812281"/>
    <w:rsid w:val="0081283D"/>
    <w:rsid w:val="00812AEE"/>
    <w:rsid w:val="008147EB"/>
    <w:rsid w:val="00814B36"/>
    <w:rsid w:val="00814C1C"/>
    <w:rsid w:val="008152D0"/>
    <w:rsid w:val="008160D8"/>
    <w:rsid w:val="00822136"/>
    <w:rsid w:val="00824C15"/>
    <w:rsid w:val="008279F2"/>
    <w:rsid w:val="00830118"/>
    <w:rsid w:val="00833D68"/>
    <w:rsid w:val="00833FB9"/>
    <w:rsid w:val="00836803"/>
    <w:rsid w:val="00840792"/>
    <w:rsid w:val="00847DAE"/>
    <w:rsid w:val="00851203"/>
    <w:rsid w:val="008523C1"/>
    <w:rsid w:val="008572E7"/>
    <w:rsid w:val="0086151F"/>
    <w:rsid w:val="0086164C"/>
    <w:rsid w:val="00864311"/>
    <w:rsid w:val="00864F1A"/>
    <w:rsid w:val="00865270"/>
    <w:rsid w:val="00866F3D"/>
    <w:rsid w:val="008717D8"/>
    <w:rsid w:val="00871DBB"/>
    <w:rsid w:val="0087215C"/>
    <w:rsid w:val="0087419B"/>
    <w:rsid w:val="00877D78"/>
    <w:rsid w:val="00884786"/>
    <w:rsid w:val="0088527F"/>
    <w:rsid w:val="008856EC"/>
    <w:rsid w:val="00886773"/>
    <w:rsid w:val="0088761D"/>
    <w:rsid w:val="00887F8E"/>
    <w:rsid w:val="008914F2"/>
    <w:rsid w:val="00891FF0"/>
    <w:rsid w:val="0089405D"/>
    <w:rsid w:val="00894A00"/>
    <w:rsid w:val="00896234"/>
    <w:rsid w:val="008A162C"/>
    <w:rsid w:val="008A3A37"/>
    <w:rsid w:val="008A4758"/>
    <w:rsid w:val="008A5260"/>
    <w:rsid w:val="008A7BFB"/>
    <w:rsid w:val="008B0643"/>
    <w:rsid w:val="008B0C84"/>
    <w:rsid w:val="008B0F22"/>
    <w:rsid w:val="008B1418"/>
    <w:rsid w:val="008B3448"/>
    <w:rsid w:val="008B375A"/>
    <w:rsid w:val="008B3AB3"/>
    <w:rsid w:val="008B4101"/>
    <w:rsid w:val="008B52E1"/>
    <w:rsid w:val="008B7478"/>
    <w:rsid w:val="008B75CD"/>
    <w:rsid w:val="008C3389"/>
    <w:rsid w:val="008C539D"/>
    <w:rsid w:val="008C7EAD"/>
    <w:rsid w:val="008D1AC0"/>
    <w:rsid w:val="008D29F5"/>
    <w:rsid w:val="008D6152"/>
    <w:rsid w:val="008D7838"/>
    <w:rsid w:val="008E124A"/>
    <w:rsid w:val="008E29CF"/>
    <w:rsid w:val="008E3826"/>
    <w:rsid w:val="008E6C50"/>
    <w:rsid w:val="008E7D39"/>
    <w:rsid w:val="008E7FD3"/>
    <w:rsid w:val="008F2D12"/>
    <w:rsid w:val="008F4008"/>
    <w:rsid w:val="008F4CAB"/>
    <w:rsid w:val="00903932"/>
    <w:rsid w:val="009104A5"/>
    <w:rsid w:val="009104D7"/>
    <w:rsid w:val="009138D3"/>
    <w:rsid w:val="00913DEE"/>
    <w:rsid w:val="00914391"/>
    <w:rsid w:val="00914CCA"/>
    <w:rsid w:val="009153AF"/>
    <w:rsid w:val="009155F3"/>
    <w:rsid w:val="00915B56"/>
    <w:rsid w:val="00915BBE"/>
    <w:rsid w:val="009160F3"/>
    <w:rsid w:val="009164CF"/>
    <w:rsid w:val="009166E3"/>
    <w:rsid w:val="0091681D"/>
    <w:rsid w:val="009208D7"/>
    <w:rsid w:val="0092159E"/>
    <w:rsid w:val="009219A6"/>
    <w:rsid w:val="00922ACB"/>
    <w:rsid w:val="00922CBD"/>
    <w:rsid w:val="00922E5E"/>
    <w:rsid w:val="00922F56"/>
    <w:rsid w:val="009232D7"/>
    <w:rsid w:val="0092366F"/>
    <w:rsid w:val="00923838"/>
    <w:rsid w:val="00923B4E"/>
    <w:rsid w:val="00923D37"/>
    <w:rsid w:val="009241F1"/>
    <w:rsid w:val="0092497B"/>
    <w:rsid w:val="00924B73"/>
    <w:rsid w:val="009255D4"/>
    <w:rsid w:val="00926767"/>
    <w:rsid w:val="00926F47"/>
    <w:rsid w:val="00927758"/>
    <w:rsid w:val="00930B47"/>
    <w:rsid w:val="009361D5"/>
    <w:rsid w:val="009373C6"/>
    <w:rsid w:val="0093758D"/>
    <w:rsid w:val="009413E0"/>
    <w:rsid w:val="00942511"/>
    <w:rsid w:val="00942DD9"/>
    <w:rsid w:val="0094331E"/>
    <w:rsid w:val="00943C21"/>
    <w:rsid w:val="0094406B"/>
    <w:rsid w:val="009457AD"/>
    <w:rsid w:val="00951D1F"/>
    <w:rsid w:val="00954A2F"/>
    <w:rsid w:val="00954F05"/>
    <w:rsid w:val="00955A84"/>
    <w:rsid w:val="00963B02"/>
    <w:rsid w:val="00967400"/>
    <w:rsid w:val="0097088D"/>
    <w:rsid w:val="00970D60"/>
    <w:rsid w:val="00971645"/>
    <w:rsid w:val="00971AF2"/>
    <w:rsid w:val="00972CFD"/>
    <w:rsid w:val="00973005"/>
    <w:rsid w:val="00977651"/>
    <w:rsid w:val="00980D3A"/>
    <w:rsid w:val="00981703"/>
    <w:rsid w:val="00981EB9"/>
    <w:rsid w:val="009827F0"/>
    <w:rsid w:val="009832C0"/>
    <w:rsid w:val="00983E0C"/>
    <w:rsid w:val="00984099"/>
    <w:rsid w:val="00984598"/>
    <w:rsid w:val="009864DE"/>
    <w:rsid w:val="00991D64"/>
    <w:rsid w:val="009946B6"/>
    <w:rsid w:val="0099486A"/>
    <w:rsid w:val="0099585E"/>
    <w:rsid w:val="00995987"/>
    <w:rsid w:val="00996148"/>
    <w:rsid w:val="0099639C"/>
    <w:rsid w:val="00996B91"/>
    <w:rsid w:val="009A0AC3"/>
    <w:rsid w:val="009A0CFA"/>
    <w:rsid w:val="009A18C7"/>
    <w:rsid w:val="009A1CD1"/>
    <w:rsid w:val="009A4894"/>
    <w:rsid w:val="009A556C"/>
    <w:rsid w:val="009A5BDC"/>
    <w:rsid w:val="009A658F"/>
    <w:rsid w:val="009B04E4"/>
    <w:rsid w:val="009B197B"/>
    <w:rsid w:val="009B1C27"/>
    <w:rsid w:val="009B3A8D"/>
    <w:rsid w:val="009B4B39"/>
    <w:rsid w:val="009B5847"/>
    <w:rsid w:val="009B5B11"/>
    <w:rsid w:val="009C0DE6"/>
    <w:rsid w:val="009C1480"/>
    <w:rsid w:val="009C20E5"/>
    <w:rsid w:val="009C6744"/>
    <w:rsid w:val="009C6C58"/>
    <w:rsid w:val="009C7153"/>
    <w:rsid w:val="009D1001"/>
    <w:rsid w:val="009D10B3"/>
    <w:rsid w:val="009D1562"/>
    <w:rsid w:val="009D1845"/>
    <w:rsid w:val="009D1F12"/>
    <w:rsid w:val="009D3C68"/>
    <w:rsid w:val="009D5232"/>
    <w:rsid w:val="009D54A4"/>
    <w:rsid w:val="009D59FB"/>
    <w:rsid w:val="009D6180"/>
    <w:rsid w:val="009E31F9"/>
    <w:rsid w:val="009E3E32"/>
    <w:rsid w:val="009E3E93"/>
    <w:rsid w:val="009E3EB1"/>
    <w:rsid w:val="009E4EA7"/>
    <w:rsid w:val="009E58D2"/>
    <w:rsid w:val="009E6434"/>
    <w:rsid w:val="009E741D"/>
    <w:rsid w:val="009F18B2"/>
    <w:rsid w:val="009F36BF"/>
    <w:rsid w:val="009F3B09"/>
    <w:rsid w:val="009F6FA7"/>
    <w:rsid w:val="00A015CB"/>
    <w:rsid w:val="00A0306E"/>
    <w:rsid w:val="00A06B04"/>
    <w:rsid w:val="00A06FD1"/>
    <w:rsid w:val="00A12472"/>
    <w:rsid w:val="00A12794"/>
    <w:rsid w:val="00A13838"/>
    <w:rsid w:val="00A13DE4"/>
    <w:rsid w:val="00A1588E"/>
    <w:rsid w:val="00A15CFE"/>
    <w:rsid w:val="00A165D3"/>
    <w:rsid w:val="00A17635"/>
    <w:rsid w:val="00A20F17"/>
    <w:rsid w:val="00A21264"/>
    <w:rsid w:val="00A229AE"/>
    <w:rsid w:val="00A2493F"/>
    <w:rsid w:val="00A25A7C"/>
    <w:rsid w:val="00A343F7"/>
    <w:rsid w:val="00A3521C"/>
    <w:rsid w:val="00A3619D"/>
    <w:rsid w:val="00A37350"/>
    <w:rsid w:val="00A402C2"/>
    <w:rsid w:val="00A42947"/>
    <w:rsid w:val="00A42A99"/>
    <w:rsid w:val="00A503A4"/>
    <w:rsid w:val="00A50756"/>
    <w:rsid w:val="00A50C7C"/>
    <w:rsid w:val="00A5248D"/>
    <w:rsid w:val="00A52897"/>
    <w:rsid w:val="00A533A2"/>
    <w:rsid w:val="00A53FCC"/>
    <w:rsid w:val="00A546FF"/>
    <w:rsid w:val="00A60529"/>
    <w:rsid w:val="00A606C8"/>
    <w:rsid w:val="00A60E88"/>
    <w:rsid w:val="00A61E56"/>
    <w:rsid w:val="00A62442"/>
    <w:rsid w:val="00A62EEC"/>
    <w:rsid w:val="00A63B60"/>
    <w:rsid w:val="00A6471A"/>
    <w:rsid w:val="00A64F9B"/>
    <w:rsid w:val="00A65FF8"/>
    <w:rsid w:val="00A670CA"/>
    <w:rsid w:val="00A67438"/>
    <w:rsid w:val="00A675B8"/>
    <w:rsid w:val="00A7006D"/>
    <w:rsid w:val="00A730DE"/>
    <w:rsid w:val="00A77B60"/>
    <w:rsid w:val="00A81D5F"/>
    <w:rsid w:val="00A823F6"/>
    <w:rsid w:val="00A82A66"/>
    <w:rsid w:val="00A82F84"/>
    <w:rsid w:val="00A8380F"/>
    <w:rsid w:val="00A83ABA"/>
    <w:rsid w:val="00A84F7F"/>
    <w:rsid w:val="00A853A4"/>
    <w:rsid w:val="00A86F64"/>
    <w:rsid w:val="00A873A3"/>
    <w:rsid w:val="00A87431"/>
    <w:rsid w:val="00A9094B"/>
    <w:rsid w:val="00A91972"/>
    <w:rsid w:val="00A92397"/>
    <w:rsid w:val="00A953B6"/>
    <w:rsid w:val="00A953B9"/>
    <w:rsid w:val="00AA03B3"/>
    <w:rsid w:val="00AA0A89"/>
    <w:rsid w:val="00AA13A1"/>
    <w:rsid w:val="00AA13EA"/>
    <w:rsid w:val="00AA2620"/>
    <w:rsid w:val="00AA46CA"/>
    <w:rsid w:val="00AA50D3"/>
    <w:rsid w:val="00AA5FBE"/>
    <w:rsid w:val="00AA7709"/>
    <w:rsid w:val="00AB0E27"/>
    <w:rsid w:val="00AB14ED"/>
    <w:rsid w:val="00AB29BD"/>
    <w:rsid w:val="00AB3444"/>
    <w:rsid w:val="00AB5FAD"/>
    <w:rsid w:val="00AB6359"/>
    <w:rsid w:val="00AB68C5"/>
    <w:rsid w:val="00AB6CEB"/>
    <w:rsid w:val="00AC07BB"/>
    <w:rsid w:val="00AC12BE"/>
    <w:rsid w:val="00AC149B"/>
    <w:rsid w:val="00AC2219"/>
    <w:rsid w:val="00AC58F4"/>
    <w:rsid w:val="00AC7CE2"/>
    <w:rsid w:val="00AC7DFD"/>
    <w:rsid w:val="00AC7F1C"/>
    <w:rsid w:val="00AD1257"/>
    <w:rsid w:val="00AD25E6"/>
    <w:rsid w:val="00AD3664"/>
    <w:rsid w:val="00AD3923"/>
    <w:rsid w:val="00AD4469"/>
    <w:rsid w:val="00AD4AD3"/>
    <w:rsid w:val="00AD4DD3"/>
    <w:rsid w:val="00AE1C39"/>
    <w:rsid w:val="00AE23AA"/>
    <w:rsid w:val="00AE3097"/>
    <w:rsid w:val="00AE3C13"/>
    <w:rsid w:val="00AE46FE"/>
    <w:rsid w:val="00AE48BC"/>
    <w:rsid w:val="00AE614A"/>
    <w:rsid w:val="00AF0784"/>
    <w:rsid w:val="00AF0FC3"/>
    <w:rsid w:val="00AF2629"/>
    <w:rsid w:val="00AF3F17"/>
    <w:rsid w:val="00AF551A"/>
    <w:rsid w:val="00B00B0F"/>
    <w:rsid w:val="00B014DA"/>
    <w:rsid w:val="00B03FB5"/>
    <w:rsid w:val="00B056F9"/>
    <w:rsid w:val="00B05876"/>
    <w:rsid w:val="00B067FD"/>
    <w:rsid w:val="00B06BFC"/>
    <w:rsid w:val="00B07F01"/>
    <w:rsid w:val="00B11644"/>
    <w:rsid w:val="00B11F2E"/>
    <w:rsid w:val="00B14A23"/>
    <w:rsid w:val="00B156E3"/>
    <w:rsid w:val="00B16323"/>
    <w:rsid w:val="00B16710"/>
    <w:rsid w:val="00B17ABE"/>
    <w:rsid w:val="00B201EB"/>
    <w:rsid w:val="00B210A4"/>
    <w:rsid w:val="00B21B81"/>
    <w:rsid w:val="00B22086"/>
    <w:rsid w:val="00B2378A"/>
    <w:rsid w:val="00B30329"/>
    <w:rsid w:val="00B31FB4"/>
    <w:rsid w:val="00B34529"/>
    <w:rsid w:val="00B34665"/>
    <w:rsid w:val="00B354A3"/>
    <w:rsid w:val="00B36980"/>
    <w:rsid w:val="00B4116F"/>
    <w:rsid w:val="00B414ED"/>
    <w:rsid w:val="00B44815"/>
    <w:rsid w:val="00B460A7"/>
    <w:rsid w:val="00B50C54"/>
    <w:rsid w:val="00B529C2"/>
    <w:rsid w:val="00B52F6B"/>
    <w:rsid w:val="00B5419E"/>
    <w:rsid w:val="00B55ACE"/>
    <w:rsid w:val="00B573E5"/>
    <w:rsid w:val="00B57716"/>
    <w:rsid w:val="00B60453"/>
    <w:rsid w:val="00B61576"/>
    <w:rsid w:val="00B6434D"/>
    <w:rsid w:val="00B65637"/>
    <w:rsid w:val="00B664FB"/>
    <w:rsid w:val="00B66F84"/>
    <w:rsid w:val="00B67AF5"/>
    <w:rsid w:val="00B707E8"/>
    <w:rsid w:val="00B726DE"/>
    <w:rsid w:val="00B73840"/>
    <w:rsid w:val="00B75191"/>
    <w:rsid w:val="00B75385"/>
    <w:rsid w:val="00B76429"/>
    <w:rsid w:val="00B8102B"/>
    <w:rsid w:val="00B811CC"/>
    <w:rsid w:val="00B81DAD"/>
    <w:rsid w:val="00B82A49"/>
    <w:rsid w:val="00B84046"/>
    <w:rsid w:val="00B84398"/>
    <w:rsid w:val="00B84B07"/>
    <w:rsid w:val="00B84E35"/>
    <w:rsid w:val="00B85F94"/>
    <w:rsid w:val="00B8735B"/>
    <w:rsid w:val="00B94700"/>
    <w:rsid w:val="00B956D4"/>
    <w:rsid w:val="00B960F1"/>
    <w:rsid w:val="00B9755B"/>
    <w:rsid w:val="00BA1758"/>
    <w:rsid w:val="00BA199E"/>
    <w:rsid w:val="00BA1CD2"/>
    <w:rsid w:val="00BA22CB"/>
    <w:rsid w:val="00BA519B"/>
    <w:rsid w:val="00BA5E39"/>
    <w:rsid w:val="00BA7432"/>
    <w:rsid w:val="00BB0179"/>
    <w:rsid w:val="00BB0683"/>
    <w:rsid w:val="00BB2ED8"/>
    <w:rsid w:val="00BB371D"/>
    <w:rsid w:val="00BB529B"/>
    <w:rsid w:val="00BB5450"/>
    <w:rsid w:val="00BB6AC4"/>
    <w:rsid w:val="00BB7655"/>
    <w:rsid w:val="00BC15E3"/>
    <w:rsid w:val="00BC1AA0"/>
    <w:rsid w:val="00BC1AB7"/>
    <w:rsid w:val="00BC2521"/>
    <w:rsid w:val="00BC2D5D"/>
    <w:rsid w:val="00BC3FD5"/>
    <w:rsid w:val="00BC72D0"/>
    <w:rsid w:val="00BD074E"/>
    <w:rsid w:val="00BD2643"/>
    <w:rsid w:val="00BD6F7D"/>
    <w:rsid w:val="00BD7A3B"/>
    <w:rsid w:val="00BE1897"/>
    <w:rsid w:val="00BE262A"/>
    <w:rsid w:val="00BE27BD"/>
    <w:rsid w:val="00BE283E"/>
    <w:rsid w:val="00BE4C6F"/>
    <w:rsid w:val="00BE5876"/>
    <w:rsid w:val="00BE6011"/>
    <w:rsid w:val="00BE72D0"/>
    <w:rsid w:val="00BF09F5"/>
    <w:rsid w:val="00BF0A95"/>
    <w:rsid w:val="00BF0BB2"/>
    <w:rsid w:val="00BF0BFC"/>
    <w:rsid w:val="00BF3214"/>
    <w:rsid w:val="00BF3C54"/>
    <w:rsid w:val="00BF3EA0"/>
    <w:rsid w:val="00BF3EA6"/>
    <w:rsid w:val="00BF5460"/>
    <w:rsid w:val="00BF7FC4"/>
    <w:rsid w:val="00C006D9"/>
    <w:rsid w:val="00C00C46"/>
    <w:rsid w:val="00C03847"/>
    <w:rsid w:val="00C07FC6"/>
    <w:rsid w:val="00C11FAE"/>
    <w:rsid w:val="00C13634"/>
    <w:rsid w:val="00C15575"/>
    <w:rsid w:val="00C17F7B"/>
    <w:rsid w:val="00C20292"/>
    <w:rsid w:val="00C22551"/>
    <w:rsid w:val="00C2296D"/>
    <w:rsid w:val="00C236F8"/>
    <w:rsid w:val="00C26055"/>
    <w:rsid w:val="00C30736"/>
    <w:rsid w:val="00C314A6"/>
    <w:rsid w:val="00C331A8"/>
    <w:rsid w:val="00C3455D"/>
    <w:rsid w:val="00C37579"/>
    <w:rsid w:val="00C40835"/>
    <w:rsid w:val="00C40C41"/>
    <w:rsid w:val="00C41D12"/>
    <w:rsid w:val="00C43694"/>
    <w:rsid w:val="00C44DDC"/>
    <w:rsid w:val="00C45885"/>
    <w:rsid w:val="00C45F80"/>
    <w:rsid w:val="00C47541"/>
    <w:rsid w:val="00C47AB0"/>
    <w:rsid w:val="00C5035F"/>
    <w:rsid w:val="00C509E6"/>
    <w:rsid w:val="00C521F4"/>
    <w:rsid w:val="00C525E9"/>
    <w:rsid w:val="00C52615"/>
    <w:rsid w:val="00C52AC2"/>
    <w:rsid w:val="00C549CE"/>
    <w:rsid w:val="00C54BAA"/>
    <w:rsid w:val="00C6275B"/>
    <w:rsid w:val="00C62A43"/>
    <w:rsid w:val="00C62ABC"/>
    <w:rsid w:val="00C65846"/>
    <w:rsid w:val="00C663C5"/>
    <w:rsid w:val="00C668CB"/>
    <w:rsid w:val="00C66DB2"/>
    <w:rsid w:val="00C67B40"/>
    <w:rsid w:val="00C7123C"/>
    <w:rsid w:val="00C75EDA"/>
    <w:rsid w:val="00C76816"/>
    <w:rsid w:val="00C768D2"/>
    <w:rsid w:val="00C76BA4"/>
    <w:rsid w:val="00C77919"/>
    <w:rsid w:val="00C821A5"/>
    <w:rsid w:val="00C83A48"/>
    <w:rsid w:val="00C83AE4"/>
    <w:rsid w:val="00C84789"/>
    <w:rsid w:val="00C85865"/>
    <w:rsid w:val="00C85C85"/>
    <w:rsid w:val="00C85F93"/>
    <w:rsid w:val="00C90117"/>
    <w:rsid w:val="00C9112F"/>
    <w:rsid w:val="00C91402"/>
    <w:rsid w:val="00C94B87"/>
    <w:rsid w:val="00C95251"/>
    <w:rsid w:val="00C97799"/>
    <w:rsid w:val="00CA2EAE"/>
    <w:rsid w:val="00CA4046"/>
    <w:rsid w:val="00CA4AC1"/>
    <w:rsid w:val="00CA5CFD"/>
    <w:rsid w:val="00CB04B2"/>
    <w:rsid w:val="00CB0C64"/>
    <w:rsid w:val="00CB31A1"/>
    <w:rsid w:val="00CB4027"/>
    <w:rsid w:val="00CB5DB3"/>
    <w:rsid w:val="00CB76C0"/>
    <w:rsid w:val="00CB7819"/>
    <w:rsid w:val="00CC218C"/>
    <w:rsid w:val="00CC6A14"/>
    <w:rsid w:val="00CC70A3"/>
    <w:rsid w:val="00CC75BB"/>
    <w:rsid w:val="00CD0B5A"/>
    <w:rsid w:val="00CD4267"/>
    <w:rsid w:val="00CD4B52"/>
    <w:rsid w:val="00CD53C3"/>
    <w:rsid w:val="00CD566C"/>
    <w:rsid w:val="00CD574E"/>
    <w:rsid w:val="00CD6140"/>
    <w:rsid w:val="00CD6FB6"/>
    <w:rsid w:val="00CD7F71"/>
    <w:rsid w:val="00CE1D19"/>
    <w:rsid w:val="00CE4A8B"/>
    <w:rsid w:val="00CE4C22"/>
    <w:rsid w:val="00CE7A9E"/>
    <w:rsid w:val="00CF1C26"/>
    <w:rsid w:val="00CF1DC6"/>
    <w:rsid w:val="00CF2906"/>
    <w:rsid w:val="00CF4136"/>
    <w:rsid w:val="00CF4F03"/>
    <w:rsid w:val="00CF5D04"/>
    <w:rsid w:val="00CF61E8"/>
    <w:rsid w:val="00D012B0"/>
    <w:rsid w:val="00D01350"/>
    <w:rsid w:val="00D03D95"/>
    <w:rsid w:val="00D04DE4"/>
    <w:rsid w:val="00D07199"/>
    <w:rsid w:val="00D07C75"/>
    <w:rsid w:val="00D11F89"/>
    <w:rsid w:val="00D12485"/>
    <w:rsid w:val="00D129D5"/>
    <w:rsid w:val="00D13181"/>
    <w:rsid w:val="00D13277"/>
    <w:rsid w:val="00D13FB0"/>
    <w:rsid w:val="00D14F22"/>
    <w:rsid w:val="00D1534C"/>
    <w:rsid w:val="00D15B98"/>
    <w:rsid w:val="00D15D28"/>
    <w:rsid w:val="00D17030"/>
    <w:rsid w:val="00D20B5B"/>
    <w:rsid w:val="00D25EF6"/>
    <w:rsid w:val="00D2623F"/>
    <w:rsid w:val="00D273C0"/>
    <w:rsid w:val="00D308CF"/>
    <w:rsid w:val="00D308DE"/>
    <w:rsid w:val="00D31FF0"/>
    <w:rsid w:val="00D335AC"/>
    <w:rsid w:val="00D33F82"/>
    <w:rsid w:val="00D33FAE"/>
    <w:rsid w:val="00D366D1"/>
    <w:rsid w:val="00D42C41"/>
    <w:rsid w:val="00D43497"/>
    <w:rsid w:val="00D44146"/>
    <w:rsid w:val="00D45BFC"/>
    <w:rsid w:val="00D45C02"/>
    <w:rsid w:val="00D463B3"/>
    <w:rsid w:val="00D465FA"/>
    <w:rsid w:val="00D502A8"/>
    <w:rsid w:val="00D50642"/>
    <w:rsid w:val="00D51750"/>
    <w:rsid w:val="00D51C6A"/>
    <w:rsid w:val="00D53C25"/>
    <w:rsid w:val="00D5559B"/>
    <w:rsid w:val="00D559C3"/>
    <w:rsid w:val="00D56D07"/>
    <w:rsid w:val="00D60DBC"/>
    <w:rsid w:val="00D61CC5"/>
    <w:rsid w:val="00D6414B"/>
    <w:rsid w:val="00D656DB"/>
    <w:rsid w:val="00D65CA4"/>
    <w:rsid w:val="00D65F07"/>
    <w:rsid w:val="00D70786"/>
    <w:rsid w:val="00D71556"/>
    <w:rsid w:val="00D73B26"/>
    <w:rsid w:val="00D73DC6"/>
    <w:rsid w:val="00D73EB2"/>
    <w:rsid w:val="00D74C1A"/>
    <w:rsid w:val="00D754C1"/>
    <w:rsid w:val="00D75C67"/>
    <w:rsid w:val="00D75D12"/>
    <w:rsid w:val="00D777EA"/>
    <w:rsid w:val="00D779D4"/>
    <w:rsid w:val="00D77A35"/>
    <w:rsid w:val="00D80AA6"/>
    <w:rsid w:val="00D81B3E"/>
    <w:rsid w:val="00D8578E"/>
    <w:rsid w:val="00D86080"/>
    <w:rsid w:val="00D869D0"/>
    <w:rsid w:val="00D86C6B"/>
    <w:rsid w:val="00D90875"/>
    <w:rsid w:val="00D90C70"/>
    <w:rsid w:val="00D90E49"/>
    <w:rsid w:val="00D92BAA"/>
    <w:rsid w:val="00DA1B5E"/>
    <w:rsid w:val="00DA3B10"/>
    <w:rsid w:val="00DA407E"/>
    <w:rsid w:val="00DA7D7A"/>
    <w:rsid w:val="00DB00B5"/>
    <w:rsid w:val="00DB1117"/>
    <w:rsid w:val="00DB15AE"/>
    <w:rsid w:val="00DB4CFE"/>
    <w:rsid w:val="00DB6DDD"/>
    <w:rsid w:val="00DB7568"/>
    <w:rsid w:val="00DC3397"/>
    <w:rsid w:val="00DC35B3"/>
    <w:rsid w:val="00DC58A9"/>
    <w:rsid w:val="00DC7035"/>
    <w:rsid w:val="00DC713A"/>
    <w:rsid w:val="00DC7DAB"/>
    <w:rsid w:val="00DD05C9"/>
    <w:rsid w:val="00DD14BD"/>
    <w:rsid w:val="00DD19D5"/>
    <w:rsid w:val="00DD1AD4"/>
    <w:rsid w:val="00DD21B3"/>
    <w:rsid w:val="00DD27EE"/>
    <w:rsid w:val="00DD7B57"/>
    <w:rsid w:val="00DE4037"/>
    <w:rsid w:val="00DE4E30"/>
    <w:rsid w:val="00DE5385"/>
    <w:rsid w:val="00DE778D"/>
    <w:rsid w:val="00DF1A10"/>
    <w:rsid w:val="00DF55DD"/>
    <w:rsid w:val="00DF6012"/>
    <w:rsid w:val="00DF7E0E"/>
    <w:rsid w:val="00DF7FAF"/>
    <w:rsid w:val="00E024AA"/>
    <w:rsid w:val="00E03363"/>
    <w:rsid w:val="00E0494E"/>
    <w:rsid w:val="00E050AB"/>
    <w:rsid w:val="00E052D5"/>
    <w:rsid w:val="00E053B9"/>
    <w:rsid w:val="00E05AB1"/>
    <w:rsid w:val="00E07B91"/>
    <w:rsid w:val="00E1091E"/>
    <w:rsid w:val="00E12BB0"/>
    <w:rsid w:val="00E152B2"/>
    <w:rsid w:val="00E2084F"/>
    <w:rsid w:val="00E2393F"/>
    <w:rsid w:val="00E25BE6"/>
    <w:rsid w:val="00E30226"/>
    <w:rsid w:val="00E31096"/>
    <w:rsid w:val="00E31336"/>
    <w:rsid w:val="00E32209"/>
    <w:rsid w:val="00E3550D"/>
    <w:rsid w:val="00E367DF"/>
    <w:rsid w:val="00E37836"/>
    <w:rsid w:val="00E4350D"/>
    <w:rsid w:val="00E4663C"/>
    <w:rsid w:val="00E4671E"/>
    <w:rsid w:val="00E47111"/>
    <w:rsid w:val="00E47A29"/>
    <w:rsid w:val="00E50992"/>
    <w:rsid w:val="00E53624"/>
    <w:rsid w:val="00E54F01"/>
    <w:rsid w:val="00E5533B"/>
    <w:rsid w:val="00E60DEF"/>
    <w:rsid w:val="00E614E0"/>
    <w:rsid w:val="00E62D5A"/>
    <w:rsid w:val="00E64409"/>
    <w:rsid w:val="00E719A9"/>
    <w:rsid w:val="00E73035"/>
    <w:rsid w:val="00E73F7F"/>
    <w:rsid w:val="00E75C19"/>
    <w:rsid w:val="00E81ED8"/>
    <w:rsid w:val="00E8270D"/>
    <w:rsid w:val="00E82D2A"/>
    <w:rsid w:val="00E83002"/>
    <w:rsid w:val="00E834B0"/>
    <w:rsid w:val="00E836FD"/>
    <w:rsid w:val="00E8387D"/>
    <w:rsid w:val="00E83B8E"/>
    <w:rsid w:val="00E85754"/>
    <w:rsid w:val="00E86767"/>
    <w:rsid w:val="00E87277"/>
    <w:rsid w:val="00E931C0"/>
    <w:rsid w:val="00E94229"/>
    <w:rsid w:val="00E95AF9"/>
    <w:rsid w:val="00E960DB"/>
    <w:rsid w:val="00E96908"/>
    <w:rsid w:val="00E96988"/>
    <w:rsid w:val="00E96ADC"/>
    <w:rsid w:val="00EA24D3"/>
    <w:rsid w:val="00EA28C2"/>
    <w:rsid w:val="00EA368D"/>
    <w:rsid w:val="00EA38BA"/>
    <w:rsid w:val="00EA3CE9"/>
    <w:rsid w:val="00EA429F"/>
    <w:rsid w:val="00EA4F9E"/>
    <w:rsid w:val="00EA52A5"/>
    <w:rsid w:val="00EA674E"/>
    <w:rsid w:val="00EA6D3B"/>
    <w:rsid w:val="00EA7DE6"/>
    <w:rsid w:val="00EB00AD"/>
    <w:rsid w:val="00EB136C"/>
    <w:rsid w:val="00EB1DA9"/>
    <w:rsid w:val="00EB28FB"/>
    <w:rsid w:val="00EB480E"/>
    <w:rsid w:val="00EB56E9"/>
    <w:rsid w:val="00EC1658"/>
    <w:rsid w:val="00EC269D"/>
    <w:rsid w:val="00EC719F"/>
    <w:rsid w:val="00EC76A3"/>
    <w:rsid w:val="00EC77EF"/>
    <w:rsid w:val="00ED086C"/>
    <w:rsid w:val="00ED0A52"/>
    <w:rsid w:val="00ED27DB"/>
    <w:rsid w:val="00ED44C8"/>
    <w:rsid w:val="00ED4699"/>
    <w:rsid w:val="00ED4945"/>
    <w:rsid w:val="00ED632E"/>
    <w:rsid w:val="00ED7137"/>
    <w:rsid w:val="00ED7DAB"/>
    <w:rsid w:val="00EE1801"/>
    <w:rsid w:val="00EE1859"/>
    <w:rsid w:val="00EE53D3"/>
    <w:rsid w:val="00EE602E"/>
    <w:rsid w:val="00EF26D7"/>
    <w:rsid w:val="00EF3628"/>
    <w:rsid w:val="00EF3F5E"/>
    <w:rsid w:val="00EF4522"/>
    <w:rsid w:val="00EF57CA"/>
    <w:rsid w:val="00EF61E0"/>
    <w:rsid w:val="00F012C8"/>
    <w:rsid w:val="00F02D08"/>
    <w:rsid w:val="00F03DED"/>
    <w:rsid w:val="00F04D4E"/>
    <w:rsid w:val="00F06EAD"/>
    <w:rsid w:val="00F10286"/>
    <w:rsid w:val="00F12DC8"/>
    <w:rsid w:val="00F14643"/>
    <w:rsid w:val="00F170B5"/>
    <w:rsid w:val="00F1712E"/>
    <w:rsid w:val="00F20716"/>
    <w:rsid w:val="00F20DCA"/>
    <w:rsid w:val="00F21088"/>
    <w:rsid w:val="00F221AF"/>
    <w:rsid w:val="00F22476"/>
    <w:rsid w:val="00F2490B"/>
    <w:rsid w:val="00F25E6F"/>
    <w:rsid w:val="00F27796"/>
    <w:rsid w:val="00F30B91"/>
    <w:rsid w:val="00F3143D"/>
    <w:rsid w:val="00F34101"/>
    <w:rsid w:val="00F34149"/>
    <w:rsid w:val="00F35746"/>
    <w:rsid w:val="00F37003"/>
    <w:rsid w:val="00F37EBB"/>
    <w:rsid w:val="00F41FE9"/>
    <w:rsid w:val="00F42C83"/>
    <w:rsid w:val="00F43B15"/>
    <w:rsid w:val="00F4498D"/>
    <w:rsid w:val="00F44C37"/>
    <w:rsid w:val="00F4505F"/>
    <w:rsid w:val="00F464FA"/>
    <w:rsid w:val="00F554A9"/>
    <w:rsid w:val="00F556AD"/>
    <w:rsid w:val="00F61E61"/>
    <w:rsid w:val="00F70767"/>
    <w:rsid w:val="00F715A0"/>
    <w:rsid w:val="00F716FD"/>
    <w:rsid w:val="00F71DE0"/>
    <w:rsid w:val="00F720ED"/>
    <w:rsid w:val="00F7225F"/>
    <w:rsid w:val="00F723FF"/>
    <w:rsid w:val="00F72D3E"/>
    <w:rsid w:val="00F738D7"/>
    <w:rsid w:val="00F75950"/>
    <w:rsid w:val="00F80083"/>
    <w:rsid w:val="00F82F35"/>
    <w:rsid w:val="00F8369B"/>
    <w:rsid w:val="00F872C3"/>
    <w:rsid w:val="00F936CB"/>
    <w:rsid w:val="00F94121"/>
    <w:rsid w:val="00F94142"/>
    <w:rsid w:val="00FA1EC4"/>
    <w:rsid w:val="00FA316F"/>
    <w:rsid w:val="00FA4194"/>
    <w:rsid w:val="00FA4C18"/>
    <w:rsid w:val="00FA52CA"/>
    <w:rsid w:val="00FA6231"/>
    <w:rsid w:val="00FA6BFF"/>
    <w:rsid w:val="00FA6E6B"/>
    <w:rsid w:val="00FA7CFE"/>
    <w:rsid w:val="00FB07BA"/>
    <w:rsid w:val="00FB0C81"/>
    <w:rsid w:val="00FB25BD"/>
    <w:rsid w:val="00FB39FF"/>
    <w:rsid w:val="00FB4697"/>
    <w:rsid w:val="00FB4C72"/>
    <w:rsid w:val="00FB6D4A"/>
    <w:rsid w:val="00FC1A07"/>
    <w:rsid w:val="00FC42AD"/>
    <w:rsid w:val="00FC4317"/>
    <w:rsid w:val="00FC6805"/>
    <w:rsid w:val="00FD2B1F"/>
    <w:rsid w:val="00FD3446"/>
    <w:rsid w:val="00FD4A65"/>
    <w:rsid w:val="00FD7A74"/>
    <w:rsid w:val="00FD7B93"/>
    <w:rsid w:val="00FE1970"/>
    <w:rsid w:val="00FE300C"/>
    <w:rsid w:val="00FE315B"/>
    <w:rsid w:val="00FE44A4"/>
    <w:rsid w:val="00FF2719"/>
    <w:rsid w:val="00FF2E5E"/>
    <w:rsid w:val="00FF501F"/>
    <w:rsid w:val="00FF5F78"/>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6B2C"/>
  <w15:docId w15:val="{5CB1CDBC-972A-4DA3-8977-F24C3347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25D"/>
    <w:pPr>
      <w:jc w:val="both"/>
    </w:pPr>
    <w:rPr>
      <w:sz w:val="22"/>
      <w:szCs w:val="22"/>
      <w:lang w:val="en-GB" w:eastAsia="en-US"/>
    </w:rPr>
  </w:style>
  <w:style w:type="paragraph" w:styleId="Heading1">
    <w:name w:val="heading 1"/>
    <w:aliases w:val="Para (1),Heading 1 Char,Heading 1 Char3 Char,Heading 1 Char Char1 Char,Heading 1 Char1 Char Char1 Char,Heading 1 Char Char Char Char1 Char1,Para (1) Char Char Char Char1 Char,Heading 1 Char3 Char Char Char Char1 Char,Heading 1 Char3,Heading1"/>
    <w:basedOn w:val="Normal"/>
    <w:next w:val="Normal"/>
    <w:link w:val="Heading1Char1"/>
    <w:qFormat/>
    <w:rsid w:val="0033525D"/>
    <w:pPr>
      <w:spacing w:after="240"/>
      <w:outlineLvl w:val="0"/>
    </w:pPr>
  </w:style>
  <w:style w:type="paragraph" w:styleId="Heading2">
    <w:name w:val="heading 2"/>
    <w:aliases w:val="SubPara (a),Heading 2 Char3,Heading 2 Char Char2,Heading 2 Char1 Char Char1,SubPara (a) Char Char Char1,Heading 2 Char Char Char Char1,Heading 2 Char1 Char Char Char Char1,SubPara (a) Char1 Char Char Char Char1,Heading 2 Char1"/>
    <w:basedOn w:val="Normal"/>
    <w:next w:val="Normal"/>
    <w:link w:val="Heading2Char"/>
    <w:uiPriority w:val="99"/>
    <w:qFormat/>
    <w:rsid w:val="0033525D"/>
    <w:pPr>
      <w:widowControl w:val="0"/>
      <w:spacing w:after="240"/>
      <w:outlineLvl w:val="1"/>
    </w:pPr>
  </w:style>
  <w:style w:type="paragraph" w:styleId="Heading3">
    <w:name w:val="heading 3"/>
    <w:aliases w:val="Char,Char Char,Heading 3 Char,Heading 3 Char1,Heading 3 Char Char,Char Char Char,Char Char1,Heading 3 Char1 Char,Heading 3 Char Char Char,Char Char Char Char,Char Char1 Char,Heading 3 Char2,Char Char2,Char Char Char1"/>
    <w:basedOn w:val="Normal"/>
    <w:next w:val="Normal"/>
    <w:qFormat/>
    <w:rsid w:val="0033525D"/>
    <w:pPr>
      <w:widowControl w:val="0"/>
      <w:spacing w:after="240"/>
      <w:outlineLvl w:val="2"/>
    </w:pPr>
  </w:style>
  <w:style w:type="paragraph" w:styleId="Heading4">
    <w:name w:val="heading 4"/>
    <w:aliases w:val="para 4"/>
    <w:basedOn w:val="Normal"/>
    <w:next w:val="Normal"/>
    <w:qFormat/>
    <w:rsid w:val="00311FA2"/>
    <w:pPr>
      <w:keepNext/>
      <w:spacing w:after="240" w:line="360" w:lineRule="atLeast"/>
      <w:outlineLvl w:val="3"/>
    </w:pPr>
  </w:style>
  <w:style w:type="paragraph" w:styleId="Heading5">
    <w:name w:val="heading 5"/>
    <w:basedOn w:val="Normal"/>
    <w:next w:val="Normal"/>
    <w:qFormat/>
    <w:rsid w:val="00D465FA"/>
    <w:pPr>
      <w:spacing w:before="240" w:after="60"/>
      <w:outlineLvl w:val="4"/>
    </w:pPr>
    <w:rPr>
      <w:rFonts w:ascii="Arial" w:hAnsi="Arial"/>
    </w:rPr>
  </w:style>
  <w:style w:type="paragraph" w:styleId="Heading6">
    <w:name w:val="heading 6"/>
    <w:basedOn w:val="Normal"/>
    <w:next w:val="Normal"/>
    <w:qFormat/>
    <w:rsid w:val="00D465FA"/>
    <w:pPr>
      <w:spacing w:before="240" w:after="60"/>
      <w:outlineLvl w:val="5"/>
    </w:pPr>
    <w:rPr>
      <w:rFonts w:ascii="Arial" w:hAnsi="Arial"/>
      <w:i/>
    </w:rPr>
  </w:style>
  <w:style w:type="paragraph" w:styleId="Heading7">
    <w:name w:val="heading 7"/>
    <w:basedOn w:val="Normal"/>
    <w:next w:val="Normal"/>
    <w:qFormat/>
    <w:rsid w:val="00D465FA"/>
    <w:pPr>
      <w:spacing w:before="240" w:after="60"/>
      <w:outlineLvl w:val="6"/>
    </w:pPr>
    <w:rPr>
      <w:rFonts w:ascii="Arial" w:hAnsi="Arial"/>
    </w:rPr>
  </w:style>
  <w:style w:type="paragraph" w:styleId="Heading8">
    <w:name w:val="heading 8"/>
    <w:basedOn w:val="Normal"/>
    <w:next w:val="Normal"/>
    <w:qFormat/>
    <w:rsid w:val="00CC6A14"/>
    <w:pPr>
      <w:outlineLvl w:val="7"/>
    </w:pPr>
    <w:rPr>
      <w:b/>
    </w:rPr>
  </w:style>
  <w:style w:type="paragraph" w:styleId="Heading9">
    <w:name w:val="heading 9"/>
    <w:basedOn w:val="Normal"/>
    <w:next w:val="Normal"/>
    <w:qFormat/>
    <w:rsid w:val="00D465FA"/>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93D40"/>
    <w:pPr>
      <w:numPr>
        <w:numId w:val="11"/>
      </w:numPr>
    </w:pPr>
  </w:style>
  <w:style w:type="paragraph" w:styleId="Header">
    <w:name w:val="header"/>
    <w:basedOn w:val="Normal"/>
    <w:link w:val="HeaderChar"/>
    <w:uiPriority w:val="99"/>
    <w:rsid w:val="00D465FA"/>
    <w:pPr>
      <w:tabs>
        <w:tab w:val="center" w:pos="4320"/>
        <w:tab w:val="right" w:pos="8640"/>
      </w:tabs>
    </w:pPr>
  </w:style>
  <w:style w:type="paragraph" w:customStyle="1" w:styleId="sub-title">
    <w:name w:val="sub-title"/>
    <w:rsid w:val="0033525D"/>
    <w:pPr>
      <w:jc w:val="both"/>
      <w:outlineLvl w:val="0"/>
    </w:pPr>
    <w:rPr>
      <w:b/>
      <w:noProof/>
      <w:sz w:val="22"/>
      <w:szCs w:val="22"/>
      <w:lang w:val="en-US" w:eastAsia="en-US"/>
    </w:rPr>
  </w:style>
  <w:style w:type="character" w:styleId="PageNumber">
    <w:name w:val="page number"/>
    <w:rsid w:val="0033525D"/>
    <w:rPr>
      <w:sz w:val="22"/>
      <w:szCs w:val="22"/>
    </w:rPr>
  </w:style>
  <w:style w:type="paragraph" w:customStyle="1" w:styleId="Title1">
    <w:name w:val="Title1"/>
    <w:rsid w:val="0033525D"/>
    <w:pPr>
      <w:jc w:val="center"/>
      <w:outlineLvl w:val="0"/>
    </w:pPr>
    <w:rPr>
      <w:b/>
      <w:caps/>
      <w:sz w:val="22"/>
      <w:szCs w:val="22"/>
      <w:lang w:val="en-GB" w:eastAsia="en-US"/>
    </w:rPr>
  </w:style>
  <w:style w:type="paragraph" w:customStyle="1" w:styleId="Decision">
    <w:name w:val="Decision"/>
    <w:basedOn w:val="Normal"/>
    <w:rsid w:val="0033525D"/>
    <w:pPr>
      <w:keepLines/>
      <w:jc w:val="right"/>
    </w:pPr>
    <w:rPr>
      <w:b/>
    </w:rPr>
  </w:style>
  <w:style w:type="paragraph" w:customStyle="1" w:styleId="0Heading0">
    <w:name w:val="0 Heading 0"/>
    <w:link w:val="0Heading0Char"/>
    <w:uiPriority w:val="99"/>
    <w:rsid w:val="0033525D"/>
    <w:rPr>
      <w:sz w:val="22"/>
      <w:szCs w:val="22"/>
      <w:lang w:val="en-GB" w:eastAsia="en-US"/>
    </w:rPr>
  </w:style>
  <w:style w:type="paragraph" w:styleId="Footer">
    <w:name w:val="footer"/>
    <w:basedOn w:val="Normal"/>
    <w:link w:val="FooterChar"/>
    <w:uiPriority w:val="99"/>
    <w:rsid w:val="00D465FA"/>
    <w:pPr>
      <w:tabs>
        <w:tab w:val="center" w:pos="4320"/>
        <w:tab w:val="right" w:pos="8640"/>
      </w:tabs>
    </w:pPr>
  </w:style>
  <w:style w:type="numbering" w:styleId="1ai">
    <w:name w:val="Outline List 1"/>
    <w:basedOn w:val="NoList"/>
    <w:semiHidden/>
    <w:rsid w:val="00493D40"/>
    <w:pPr>
      <w:numPr>
        <w:numId w:val="12"/>
      </w:numPr>
    </w:pPr>
  </w:style>
  <w:style w:type="numbering" w:styleId="ArticleSection">
    <w:name w:val="Outline List 3"/>
    <w:basedOn w:val="NoList"/>
    <w:semiHidden/>
    <w:rsid w:val="00493D40"/>
    <w:pPr>
      <w:numPr>
        <w:numId w:val="13"/>
      </w:numPr>
    </w:pPr>
  </w:style>
  <w:style w:type="paragraph" w:styleId="BlockText">
    <w:name w:val="Block Text"/>
    <w:basedOn w:val="Normal"/>
    <w:semiHidden/>
    <w:rsid w:val="00493D40"/>
    <w:pPr>
      <w:spacing w:after="120"/>
      <w:ind w:left="1440" w:right="1440"/>
    </w:pPr>
  </w:style>
  <w:style w:type="paragraph" w:styleId="BodyText">
    <w:name w:val="Body Text"/>
    <w:basedOn w:val="Normal"/>
    <w:semiHidden/>
    <w:rsid w:val="00493D40"/>
    <w:pPr>
      <w:spacing w:after="120"/>
    </w:pPr>
  </w:style>
  <w:style w:type="paragraph" w:styleId="BodyText2">
    <w:name w:val="Body Text 2"/>
    <w:basedOn w:val="Normal"/>
    <w:semiHidden/>
    <w:rsid w:val="00493D40"/>
    <w:pPr>
      <w:spacing w:after="120" w:line="480" w:lineRule="auto"/>
    </w:pPr>
  </w:style>
  <w:style w:type="paragraph" w:styleId="BodyText3">
    <w:name w:val="Body Text 3"/>
    <w:basedOn w:val="Normal"/>
    <w:semiHidden/>
    <w:rsid w:val="00493D40"/>
    <w:pPr>
      <w:spacing w:after="120"/>
    </w:pPr>
    <w:rPr>
      <w:sz w:val="16"/>
      <w:szCs w:val="16"/>
    </w:rPr>
  </w:style>
  <w:style w:type="paragraph" w:styleId="BodyTextFirstIndent">
    <w:name w:val="Body Text First Indent"/>
    <w:basedOn w:val="BodyText"/>
    <w:semiHidden/>
    <w:rsid w:val="00493D40"/>
    <w:pPr>
      <w:ind w:firstLine="210"/>
    </w:pPr>
  </w:style>
  <w:style w:type="paragraph" w:styleId="BodyTextIndent">
    <w:name w:val="Body Text Indent"/>
    <w:basedOn w:val="Normal"/>
    <w:semiHidden/>
    <w:rsid w:val="00493D40"/>
    <w:pPr>
      <w:spacing w:after="120"/>
      <w:ind w:left="360"/>
    </w:pPr>
  </w:style>
  <w:style w:type="paragraph" w:styleId="BodyTextFirstIndent2">
    <w:name w:val="Body Text First Indent 2"/>
    <w:basedOn w:val="BodyTextIndent"/>
    <w:semiHidden/>
    <w:rsid w:val="00493D40"/>
    <w:pPr>
      <w:ind w:firstLine="210"/>
    </w:pPr>
  </w:style>
  <w:style w:type="paragraph" w:styleId="BodyTextIndent2">
    <w:name w:val="Body Text Indent 2"/>
    <w:basedOn w:val="Normal"/>
    <w:semiHidden/>
    <w:rsid w:val="00493D40"/>
    <w:pPr>
      <w:spacing w:after="120" w:line="480" w:lineRule="auto"/>
      <w:ind w:left="360"/>
    </w:pPr>
  </w:style>
  <w:style w:type="paragraph" w:styleId="BodyTextIndent3">
    <w:name w:val="Body Text Indent 3"/>
    <w:basedOn w:val="Normal"/>
    <w:semiHidden/>
    <w:rsid w:val="00493D40"/>
    <w:pPr>
      <w:spacing w:after="120"/>
      <w:ind w:left="360"/>
    </w:pPr>
    <w:rPr>
      <w:sz w:val="16"/>
      <w:szCs w:val="16"/>
    </w:rPr>
  </w:style>
  <w:style w:type="paragraph" w:styleId="Closing">
    <w:name w:val="Closing"/>
    <w:basedOn w:val="Normal"/>
    <w:semiHidden/>
    <w:rsid w:val="00493D40"/>
    <w:pPr>
      <w:ind w:left="4320"/>
    </w:pPr>
  </w:style>
  <w:style w:type="paragraph" w:styleId="E-mailSignature">
    <w:name w:val="E-mail Signature"/>
    <w:basedOn w:val="Normal"/>
    <w:semiHidden/>
    <w:rsid w:val="00493D40"/>
  </w:style>
  <w:style w:type="character" w:styleId="Emphasis">
    <w:name w:val="Emphasis"/>
    <w:qFormat/>
    <w:rsid w:val="00493D40"/>
    <w:rPr>
      <w:i/>
      <w:iCs/>
    </w:rPr>
  </w:style>
  <w:style w:type="paragraph" w:styleId="EnvelopeAddress">
    <w:name w:val="envelope address"/>
    <w:basedOn w:val="Normal"/>
    <w:semiHidden/>
    <w:rsid w:val="00493D40"/>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493D40"/>
    <w:rPr>
      <w:rFonts w:ascii="Arial" w:hAnsi="Arial" w:cs="Arial"/>
      <w:sz w:val="20"/>
    </w:rPr>
  </w:style>
  <w:style w:type="character" w:styleId="FollowedHyperlink">
    <w:name w:val="FollowedHyperlink"/>
    <w:semiHidden/>
    <w:rsid w:val="00493D40"/>
    <w:rPr>
      <w:color w:val="800080"/>
      <w:u w:val="single"/>
    </w:rPr>
  </w:style>
  <w:style w:type="character" w:styleId="HTMLAcronym">
    <w:name w:val="HTML Acronym"/>
    <w:basedOn w:val="DefaultParagraphFont"/>
    <w:semiHidden/>
    <w:rsid w:val="00493D40"/>
  </w:style>
  <w:style w:type="paragraph" w:styleId="HTMLAddress">
    <w:name w:val="HTML Address"/>
    <w:basedOn w:val="Normal"/>
    <w:semiHidden/>
    <w:rsid w:val="00493D40"/>
    <w:rPr>
      <w:i/>
      <w:iCs/>
    </w:rPr>
  </w:style>
  <w:style w:type="character" w:styleId="HTMLCite">
    <w:name w:val="HTML Cite"/>
    <w:semiHidden/>
    <w:rsid w:val="00493D40"/>
    <w:rPr>
      <w:i/>
      <w:iCs/>
    </w:rPr>
  </w:style>
  <w:style w:type="character" w:styleId="HTMLCode">
    <w:name w:val="HTML Code"/>
    <w:semiHidden/>
    <w:rsid w:val="00493D40"/>
    <w:rPr>
      <w:rFonts w:ascii="Courier New" w:hAnsi="Courier New" w:cs="Courier New"/>
      <w:sz w:val="20"/>
      <w:szCs w:val="20"/>
    </w:rPr>
  </w:style>
  <w:style w:type="character" w:styleId="HTMLDefinition">
    <w:name w:val="HTML Definition"/>
    <w:semiHidden/>
    <w:rsid w:val="00493D40"/>
    <w:rPr>
      <w:i/>
      <w:iCs/>
    </w:rPr>
  </w:style>
  <w:style w:type="character" w:styleId="HTMLKeyboard">
    <w:name w:val="HTML Keyboard"/>
    <w:semiHidden/>
    <w:rsid w:val="00493D40"/>
    <w:rPr>
      <w:rFonts w:ascii="Courier New" w:hAnsi="Courier New" w:cs="Courier New"/>
      <w:sz w:val="20"/>
      <w:szCs w:val="20"/>
    </w:rPr>
  </w:style>
  <w:style w:type="paragraph" w:styleId="HTMLPreformatted">
    <w:name w:val="HTML Preformatted"/>
    <w:basedOn w:val="Normal"/>
    <w:semiHidden/>
    <w:rsid w:val="00493D40"/>
    <w:rPr>
      <w:rFonts w:ascii="Courier New" w:hAnsi="Courier New" w:cs="Courier New"/>
      <w:sz w:val="20"/>
    </w:rPr>
  </w:style>
  <w:style w:type="character" w:styleId="HTMLSample">
    <w:name w:val="HTML Sample"/>
    <w:semiHidden/>
    <w:rsid w:val="00493D40"/>
    <w:rPr>
      <w:rFonts w:ascii="Courier New" w:hAnsi="Courier New" w:cs="Courier New"/>
    </w:rPr>
  </w:style>
  <w:style w:type="character" w:styleId="HTMLTypewriter">
    <w:name w:val="HTML Typewriter"/>
    <w:semiHidden/>
    <w:rsid w:val="00493D40"/>
    <w:rPr>
      <w:rFonts w:ascii="Courier New" w:hAnsi="Courier New" w:cs="Courier New"/>
      <w:sz w:val="20"/>
      <w:szCs w:val="20"/>
    </w:rPr>
  </w:style>
  <w:style w:type="character" w:styleId="HTMLVariable">
    <w:name w:val="HTML Variable"/>
    <w:semiHidden/>
    <w:rsid w:val="00493D40"/>
    <w:rPr>
      <w:i/>
      <w:iCs/>
    </w:rPr>
  </w:style>
  <w:style w:type="character" w:styleId="Hyperlink">
    <w:name w:val="Hyperlink"/>
    <w:semiHidden/>
    <w:rsid w:val="00493D40"/>
    <w:rPr>
      <w:color w:val="0000FF"/>
      <w:u w:val="single"/>
    </w:rPr>
  </w:style>
  <w:style w:type="character" w:styleId="LineNumber">
    <w:name w:val="line number"/>
    <w:basedOn w:val="DefaultParagraphFont"/>
    <w:semiHidden/>
    <w:rsid w:val="00493D40"/>
  </w:style>
  <w:style w:type="paragraph" w:styleId="List">
    <w:name w:val="List"/>
    <w:basedOn w:val="Normal"/>
    <w:semiHidden/>
    <w:rsid w:val="00493D40"/>
    <w:pPr>
      <w:ind w:left="360" w:hanging="360"/>
    </w:pPr>
  </w:style>
  <w:style w:type="paragraph" w:styleId="List2">
    <w:name w:val="List 2"/>
    <w:basedOn w:val="Normal"/>
    <w:semiHidden/>
    <w:rsid w:val="00493D40"/>
    <w:pPr>
      <w:ind w:left="720" w:hanging="360"/>
    </w:pPr>
  </w:style>
  <w:style w:type="paragraph" w:styleId="List3">
    <w:name w:val="List 3"/>
    <w:basedOn w:val="Normal"/>
    <w:semiHidden/>
    <w:rsid w:val="00493D40"/>
    <w:pPr>
      <w:ind w:left="1080" w:hanging="360"/>
    </w:pPr>
  </w:style>
  <w:style w:type="paragraph" w:styleId="List4">
    <w:name w:val="List 4"/>
    <w:basedOn w:val="Normal"/>
    <w:semiHidden/>
    <w:rsid w:val="00493D40"/>
    <w:pPr>
      <w:ind w:left="1440" w:hanging="360"/>
    </w:pPr>
  </w:style>
  <w:style w:type="paragraph" w:styleId="List5">
    <w:name w:val="List 5"/>
    <w:basedOn w:val="Normal"/>
    <w:semiHidden/>
    <w:rsid w:val="00493D40"/>
    <w:pPr>
      <w:ind w:left="1800" w:hanging="360"/>
    </w:pPr>
  </w:style>
  <w:style w:type="paragraph" w:styleId="ListBullet">
    <w:name w:val="List Bullet"/>
    <w:basedOn w:val="Normal"/>
    <w:autoRedefine/>
    <w:semiHidden/>
    <w:rsid w:val="00493D40"/>
    <w:pPr>
      <w:numPr>
        <w:numId w:val="1"/>
      </w:numPr>
    </w:pPr>
  </w:style>
  <w:style w:type="paragraph" w:styleId="ListBullet2">
    <w:name w:val="List Bullet 2"/>
    <w:basedOn w:val="Normal"/>
    <w:autoRedefine/>
    <w:semiHidden/>
    <w:rsid w:val="00493D40"/>
    <w:pPr>
      <w:numPr>
        <w:numId w:val="2"/>
      </w:numPr>
    </w:pPr>
  </w:style>
  <w:style w:type="paragraph" w:styleId="ListBullet3">
    <w:name w:val="List Bullet 3"/>
    <w:basedOn w:val="Normal"/>
    <w:autoRedefine/>
    <w:semiHidden/>
    <w:rsid w:val="00493D40"/>
    <w:pPr>
      <w:numPr>
        <w:numId w:val="3"/>
      </w:numPr>
    </w:pPr>
  </w:style>
  <w:style w:type="paragraph" w:styleId="ListBullet4">
    <w:name w:val="List Bullet 4"/>
    <w:basedOn w:val="Normal"/>
    <w:autoRedefine/>
    <w:semiHidden/>
    <w:rsid w:val="00493D40"/>
    <w:pPr>
      <w:numPr>
        <w:numId w:val="4"/>
      </w:numPr>
    </w:pPr>
  </w:style>
  <w:style w:type="paragraph" w:styleId="ListBullet5">
    <w:name w:val="List Bullet 5"/>
    <w:basedOn w:val="Normal"/>
    <w:autoRedefine/>
    <w:semiHidden/>
    <w:rsid w:val="00493D40"/>
    <w:pPr>
      <w:numPr>
        <w:numId w:val="5"/>
      </w:numPr>
    </w:pPr>
  </w:style>
  <w:style w:type="paragraph" w:styleId="ListContinue">
    <w:name w:val="List Continue"/>
    <w:basedOn w:val="Normal"/>
    <w:semiHidden/>
    <w:rsid w:val="00493D40"/>
    <w:pPr>
      <w:spacing w:after="120"/>
      <w:ind w:left="360"/>
    </w:pPr>
  </w:style>
  <w:style w:type="paragraph" w:styleId="ListContinue2">
    <w:name w:val="List Continue 2"/>
    <w:basedOn w:val="Normal"/>
    <w:semiHidden/>
    <w:rsid w:val="00493D40"/>
    <w:pPr>
      <w:spacing w:after="120"/>
      <w:ind w:left="720"/>
    </w:pPr>
  </w:style>
  <w:style w:type="paragraph" w:styleId="ListContinue3">
    <w:name w:val="List Continue 3"/>
    <w:basedOn w:val="Normal"/>
    <w:semiHidden/>
    <w:rsid w:val="00493D40"/>
    <w:pPr>
      <w:spacing w:after="120"/>
      <w:ind w:left="1080"/>
    </w:pPr>
  </w:style>
  <w:style w:type="paragraph" w:styleId="ListContinue4">
    <w:name w:val="List Continue 4"/>
    <w:basedOn w:val="Normal"/>
    <w:semiHidden/>
    <w:rsid w:val="00493D40"/>
    <w:pPr>
      <w:spacing w:after="120"/>
      <w:ind w:left="1440"/>
    </w:pPr>
  </w:style>
  <w:style w:type="paragraph" w:styleId="ListContinue5">
    <w:name w:val="List Continue 5"/>
    <w:basedOn w:val="Normal"/>
    <w:semiHidden/>
    <w:rsid w:val="00493D40"/>
    <w:pPr>
      <w:spacing w:after="120"/>
      <w:ind w:left="1800"/>
    </w:pPr>
  </w:style>
  <w:style w:type="paragraph" w:styleId="ListNumber">
    <w:name w:val="List Number"/>
    <w:basedOn w:val="Normal"/>
    <w:semiHidden/>
    <w:rsid w:val="00493D40"/>
    <w:pPr>
      <w:numPr>
        <w:numId w:val="6"/>
      </w:numPr>
    </w:pPr>
  </w:style>
  <w:style w:type="paragraph" w:styleId="ListNumber2">
    <w:name w:val="List Number 2"/>
    <w:basedOn w:val="Normal"/>
    <w:semiHidden/>
    <w:rsid w:val="00493D40"/>
    <w:pPr>
      <w:numPr>
        <w:numId w:val="7"/>
      </w:numPr>
    </w:pPr>
  </w:style>
  <w:style w:type="paragraph" w:styleId="ListNumber3">
    <w:name w:val="List Number 3"/>
    <w:basedOn w:val="Normal"/>
    <w:semiHidden/>
    <w:rsid w:val="00493D40"/>
    <w:pPr>
      <w:numPr>
        <w:numId w:val="8"/>
      </w:numPr>
    </w:pPr>
  </w:style>
  <w:style w:type="paragraph" w:styleId="ListNumber4">
    <w:name w:val="List Number 4"/>
    <w:basedOn w:val="Normal"/>
    <w:semiHidden/>
    <w:rsid w:val="00493D40"/>
    <w:pPr>
      <w:numPr>
        <w:numId w:val="9"/>
      </w:numPr>
    </w:pPr>
  </w:style>
  <w:style w:type="paragraph" w:styleId="ListNumber5">
    <w:name w:val="List Number 5"/>
    <w:basedOn w:val="Normal"/>
    <w:semiHidden/>
    <w:rsid w:val="00493D40"/>
    <w:pPr>
      <w:numPr>
        <w:numId w:val="10"/>
      </w:numPr>
    </w:pPr>
  </w:style>
  <w:style w:type="paragraph" w:styleId="MessageHeader">
    <w:name w:val="Message Header"/>
    <w:basedOn w:val="Normal"/>
    <w:semiHidden/>
    <w:rsid w:val="00493D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link w:val="NormalWebChar"/>
    <w:uiPriority w:val="99"/>
    <w:rsid w:val="00493D40"/>
    <w:rPr>
      <w:szCs w:val="24"/>
    </w:rPr>
  </w:style>
  <w:style w:type="paragraph" w:styleId="NormalIndent">
    <w:name w:val="Normal Indent"/>
    <w:basedOn w:val="Normal"/>
    <w:semiHidden/>
    <w:rsid w:val="00493D40"/>
    <w:pPr>
      <w:ind w:left="720"/>
    </w:pPr>
  </w:style>
  <w:style w:type="paragraph" w:styleId="NoteHeading">
    <w:name w:val="Note Heading"/>
    <w:basedOn w:val="Normal"/>
    <w:next w:val="Normal"/>
    <w:semiHidden/>
    <w:rsid w:val="00493D40"/>
  </w:style>
  <w:style w:type="paragraph" w:styleId="PlainText">
    <w:name w:val="Plain Text"/>
    <w:basedOn w:val="Normal"/>
    <w:link w:val="PlainTextChar"/>
    <w:semiHidden/>
    <w:rsid w:val="00493D40"/>
    <w:rPr>
      <w:rFonts w:ascii="Courier New" w:hAnsi="Courier New" w:cs="Courier New"/>
      <w:sz w:val="20"/>
    </w:rPr>
  </w:style>
  <w:style w:type="paragraph" w:styleId="Salutation">
    <w:name w:val="Salutation"/>
    <w:basedOn w:val="Normal"/>
    <w:next w:val="Normal"/>
    <w:semiHidden/>
    <w:rsid w:val="00493D40"/>
  </w:style>
  <w:style w:type="paragraph" w:styleId="Signature">
    <w:name w:val="Signature"/>
    <w:basedOn w:val="Normal"/>
    <w:semiHidden/>
    <w:rsid w:val="00493D40"/>
    <w:pPr>
      <w:ind w:left="4320"/>
    </w:pPr>
  </w:style>
  <w:style w:type="character" w:styleId="Strong">
    <w:name w:val="Strong"/>
    <w:qFormat/>
    <w:rsid w:val="00493D40"/>
    <w:rPr>
      <w:b/>
      <w:bCs/>
    </w:rPr>
  </w:style>
  <w:style w:type="table" w:styleId="Table3Deffects1">
    <w:name w:val="Table 3D effects 1"/>
    <w:basedOn w:val="TableNormal"/>
    <w:semiHidden/>
    <w:rsid w:val="00493D4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3D4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3D4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3D4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3D4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3D4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3D4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3D4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3D4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3D4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3D4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3D4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3D4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3D4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3D4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3D4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3D4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93D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93D4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3D4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3D4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3D4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3D4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3D4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3D4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3D4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3D4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3D4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3D4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3D4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3D4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3D4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3D4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3D4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3D4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3D4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3D4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3D4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3D4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3D4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3D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3D4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3D4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3D4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1">
    <w:name w:val="Heading 1 Char1"/>
    <w:aliases w:val="Para (1) Char,Heading 1 Char Char,Heading 1 Char3 Char Char,Heading 1 Char Char1 Char Char,Heading 1 Char1 Char Char1 Char Char,Heading 1 Char Char Char Char1 Char1 Char,Para (1) Char Char Char Char1 Char Char,Heading 1 Char3 Char1"/>
    <w:link w:val="Heading1"/>
    <w:rsid w:val="0033525D"/>
    <w:rPr>
      <w:sz w:val="22"/>
      <w:szCs w:val="22"/>
      <w:lang w:val="en-GB" w:eastAsia="en-US"/>
    </w:rPr>
  </w:style>
  <w:style w:type="paragraph" w:customStyle="1" w:styleId="Header4">
    <w:name w:val="Header4"/>
    <w:aliases w:val="Para 4"/>
    <w:basedOn w:val="Normal"/>
    <w:next w:val="Normal"/>
    <w:rsid w:val="00625D83"/>
    <w:pPr>
      <w:widowControl w:val="0"/>
      <w:numPr>
        <w:numId w:val="14"/>
      </w:numPr>
      <w:tabs>
        <w:tab w:val="left" w:pos="2880"/>
        <w:tab w:val="left" w:pos="5760"/>
      </w:tabs>
      <w:spacing w:after="240"/>
      <w:ind w:left="2520"/>
    </w:pPr>
  </w:style>
  <w:style w:type="paragraph" w:customStyle="1" w:styleId="StyleHeader4Para4Left0Firstline0">
    <w:name w:val="Style Header4Para 4 + Left:  0&quot; First line:  0&quot;"/>
    <w:basedOn w:val="Header4"/>
    <w:rsid w:val="00754ABA"/>
    <w:pPr>
      <w:ind w:left="0" w:firstLine="0"/>
    </w:pPr>
    <w:rPr>
      <w:sz w:val="20"/>
    </w:rPr>
  </w:style>
  <w:style w:type="paragraph" w:styleId="Subtitle">
    <w:name w:val="Subtitle"/>
    <w:basedOn w:val="Normal"/>
    <w:qFormat/>
    <w:rsid w:val="0033525D"/>
    <w:pPr>
      <w:spacing w:after="60"/>
      <w:jc w:val="center"/>
      <w:outlineLvl w:val="1"/>
    </w:pPr>
    <w:rPr>
      <w:rFonts w:ascii="Arial" w:hAnsi="Arial" w:cs="Arial"/>
    </w:rPr>
  </w:style>
  <w:style w:type="paragraph" w:styleId="Title">
    <w:name w:val="Title"/>
    <w:basedOn w:val="Normal"/>
    <w:qFormat/>
    <w:rsid w:val="0033525D"/>
    <w:pPr>
      <w:spacing w:before="240" w:after="60"/>
      <w:jc w:val="center"/>
      <w:outlineLvl w:val="0"/>
    </w:pPr>
    <w:rPr>
      <w:rFonts w:ascii="Arial" w:hAnsi="Arial" w:cs="Arial"/>
      <w:b/>
      <w:bCs/>
      <w:kern w:val="28"/>
    </w:rPr>
  </w:style>
  <w:style w:type="paragraph" w:styleId="Date">
    <w:name w:val="Date"/>
    <w:basedOn w:val="Normal"/>
    <w:next w:val="Normal"/>
    <w:rsid w:val="0033525D"/>
  </w:style>
  <w:style w:type="paragraph" w:customStyle="1" w:styleId="titleCharChar">
    <w:name w:val="title Char Char"/>
    <w:link w:val="titleCharCharChar"/>
    <w:rsid w:val="0010306F"/>
    <w:pPr>
      <w:jc w:val="center"/>
      <w:outlineLvl w:val="0"/>
    </w:pPr>
    <w:rPr>
      <w:b/>
      <w:caps/>
      <w:sz w:val="24"/>
      <w:szCs w:val="22"/>
      <w:lang w:val="en-GB" w:eastAsia="en-US"/>
    </w:rPr>
  </w:style>
  <w:style w:type="character" w:customStyle="1" w:styleId="titleCharCharChar">
    <w:name w:val="title Char Char Char"/>
    <w:link w:val="titleCharChar"/>
    <w:rsid w:val="0010306F"/>
    <w:rPr>
      <w:b/>
      <w:caps/>
      <w:sz w:val="24"/>
      <w:szCs w:val="22"/>
      <w:lang w:val="en-GB" w:eastAsia="en-US" w:bidi="ar-SA"/>
    </w:rPr>
  </w:style>
  <w:style w:type="character" w:customStyle="1" w:styleId="0Heading0Char">
    <w:name w:val="0 Heading 0 Char"/>
    <w:link w:val="0Heading0"/>
    <w:uiPriority w:val="99"/>
    <w:rsid w:val="0010306F"/>
    <w:rPr>
      <w:sz w:val="22"/>
      <w:szCs w:val="22"/>
      <w:lang w:val="en-GB" w:eastAsia="en-US" w:bidi="ar-SA"/>
    </w:rPr>
  </w:style>
  <w:style w:type="paragraph" w:styleId="FootnoteText">
    <w:name w:val="footnote text"/>
    <w:basedOn w:val="Normal"/>
    <w:link w:val="FootnoteTextChar"/>
    <w:uiPriority w:val="99"/>
    <w:semiHidden/>
    <w:unhideWhenUsed/>
    <w:rsid w:val="003F7E75"/>
    <w:rPr>
      <w:sz w:val="20"/>
      <w:szCs w:val="20"/>
    </w:rPr>
  </w:style>
  <w:style w:type="character" w:customStyle="1" w:styleId="FootnoteTextChar">
    <w:name w:val="Footnote Text Char"/>
    <w:link w:val="FootnoteText"/>
    <w:uiPriority w:val="99"/>
    <w:semiHidden/>
    <w:rsid w:val="003F7E75"/>
    <w:rPr>
      <w:lang w:val="en-GB"/>
    </w:rPr>
  </w:style>
  <w:style w:type="character" w:styleId="FootnoteReference">
    <w:name w:val="footnote reference"/>
    <w:uiPriority w:val="99"/>
    <w:semiHidden/>
    <w:unhideWhenUsed/>
    <w:rsid w:val="003F7E75"/>
    <w:rPr>
      <w:vertAlign w:val="superscript"/>
    </w:rPr>
  </w:style>
  <w:style w:type="character" w:customStyle="1" w:styleId="Heading2Char">
    <w:name w:val="Heading 2 Char"/>
    <w:aliases w:val="SubPara (a) Char,Heading 2 Char3 Char,Heading 2 Char Char2 Char,Heading 2 Char1 Char Char1 Char,SubPara (a) Char Char Char1 Char,Heading 2 Char Char Char Char1 Char,Heading 2 Char1 Char Char Char Char1 Char,Heading 2 Char1 Char"/>
    <w:link w:val="Heading2"/>
    <w:uiPriority w:val="99"/>
    <w:rsid w:val="003F7E75"/>
    <w:rPr>
      <w:sz w:val="22"/>
      <w:szCs w:val="22"/>
      <w:lang w:val="en-GB" w:eastAsia="en-US"/>
    </w:rPr>
  </w:style>
  <w:style w:type="paragraph" w:customStyle="1" w:styleId="AAA">
    <w:name w:val="AAA"/>
    <w:basedOn w:val="Normal"/>
    <w:qFormat/>
    <w:rsid w:val="00E960DB"/>
    <w:pPr>
      <w:ind w:left="720" w:hanging="360"/>
    </w:pPr>
    <w:rPr>
      <w:b/>
      <w:bCs/>
      <w:sz w:val="24"/>
      <w:szCs w:val="24"/>
    </w:rPr>
  </w:style>
  <w:style w:type="character" w:customStyle="1" w:styleId="FooterChar">
    <w:name w:val="Footer Char"/>
    <w:link w:val="Footer"/>
    <w:uiPriority w:val="99"/>
    <w:rsid w:val="000014D7"/>
    <w:rPr>
      <w:sz w:val="22"/>
      <w:szCs w:val="22"/>
      <w:lang w:val="en-GB"/>
    </w:rPr>
  </w:style>
  <w:style w:type="paragraph" w:styleId="ListParagraph">
    <w:name w:val="List Paragraph"/>
    <w:aliases w:val="Bullet OSM,Bullets,CORE-1.1.1,Dot pt,Heading 2_sj,List Paragraph (numbered (a)),List Paragraph1,List Paragraph11,Numbered Para 1,Proposal Bullet List,Report Para,Resume Title,TOC style,Table,WB Para,WinDForce-Letter,bullets,d_bodyb,lp1,L"/>
    <w:basedOn w:val="Normal"/>
    <w:link w:val="ListParagraphChar"/>
    <w:uiPriority w:val="99"/>
    <w:qFormat/>
    <w:rsid w:val="005652E6"/>
    <w:pPr>
      <w:ind w:left="720"/>
      <w:contextualSpacing/>
    </w:pPr>
  </w:style>
  <w:style w:type="character" w:customStyle="1" w:styleId="HeaderChar">
    <w:name w:val="Header Char"/>
    <w:link w:val="Header"/>
    <w:uiPriority w:val="99"/>
    <w:rsid w:val="002D49DD"/>
    <w:rPr>
      <w:sz w:val="22"/>
      <w:szCs w:val="22"/>
      <w:lang w:val="en-GB"/>
    </w:rPr>
  </w:style>
  <w:style w:type="paragraph" w:styleId="BalloonText">
    <w:name w:val="Balloon Text"/>
    <w:basedOn w:val="Normal"/>
    <w:link w:val="BalloonTextChar"/>
    <w:uiPriority w:val="99"/>
    <w:semiHidden/>
    <w:unhideWhenUsed/>
    <w:rsid w:val="002D49DD"/>
    <w:rPr>
      <w:rFonts w:ascii="Tahoma" w:hAnsi="Tahoma"/>
      <w:sz w:val="16"/>
      <w:szCs w:val="16"/>
    </w:rPr>
  </w:style>
  <w:style w:type="character" w:customStyle="1" w:styleId="BalloonTextChar">
    <w:name w:val="Balloon Text Char"/>
    <w:link w:val="BalloonText"/>
    <w:uiPriority w:val="99"/>
    <w:semiHidden/>
    <w:rsid w:val="002D49DD"/>
    <w:rPr>
      <w:rFonts w:ascii="Tahoma" w:hAnsi="Tahoma" w:cs="Tahoma"/>
      <w:sz w:val="16"/>
      <w:szCs w:val="16"/>
      <w:lang w:val="en-GB"/>
    </w:rPr>
  </w:style>
  <w:style w:type="character" w:styleId="CommentReference">
    <w:name w:val="annotation reference"/>
    <w:uiPriority w:val="99"/>
    <w:semiHidden/>
    <w:unhideWhenUsed/>
    <w:rsid w:val="007B0452"/>
    <w:rPr>
      <w:sz w:val="16"/>
      <w:szCs w:val="16"/>
    </w:rPr>
  </w:style>
  <w:style w:type="paragraph" w:styleId="CommentText">
    <w:name w:val="annotation text"/>
    <w:basedOn w:val="Normal"/>
    <w:link w:val="CommentTextChar"/>
    <w:uiPriority w:val="99"/>
    <w:unhideWhenUsed/>
    <w:rsid w:val="007B0452"/>
    <w:rPr>
      <w:sz w:val="20"/>
      <w:szCs w:val="20"/>
    </w:rPr>
  </w:style>
  <w:style w:type="character" w:customStyle="1" w:styleId="CommentTextChar">
    <w:name w:val="Comment Text Char"/>
    <w:link w:val="CommentText"/>
    <w:uiPriority w:val="99"/>
    <w:rsid w:val="007B0452"/>
    <w:rPr>
      <w:lang w:val="en-GB" w:eastAsia="en-US"/>
    </w:rPr>
  </w:style>
  <w:style w:type="paragraph" w:styleId="CommentSubject">
    <w:name w:val="annotation subject"/>
    <w:basedOn w:val="CommentText"/>
    <w:next w:val="CommentText"/>
    <w:link w:val="CommentSubjectChar"/>
    <w:uiPriority w:val="99"/>
    <w:semiHidden/>
    <w:unhideWhenUsed/>
    <w:rsid w:val="007B0452"/>
    <w:rPr>
      <w:b/>
      <w:bCs/>
    </w:rPr>
  </w:style>
  <w:style w:type="character" w:customStyle="1" w:styleId="CommentSubjectChar">
    <w:name w:val="Comment Subject Char"/>
    <w:link w:val="CommentSubject"/>
    <w:uiPriority w:val="99"/>
    <w:semiHidden/>
    <w:rsid w:val="007B0452"/>
    <w:rPr>
      <w:b/>
      <w:bCs/>
      <w:lang w:val="en-GB" w:eastAsia="en-US"/>
    </w:rPr>
  </w:style>
  <w:style w:type="paragraph" w:styleId="Revision">
    <w:name w:val="Revision"/>
    <w:hidden/>
    <w:uiPriority w:val="99"/>
    <w:semiHidden/>
    <w:rsid w:val="006F5B2C"/>
    <w:rPr>
      <w:sz w:val="22"/>
      <w:szCs w:val="22"/>
      <w:lang w:val="en-GB" w:eastAsia="en-US"/>
    </w:rPr>
  </w:style>
  <w:style w:type="character" w:customStyle="1" w:styleId="ListParagraphChar">
    <w:name w:val="List Paragraph Char"/>
    <w:aliases w:val="Bullet OSM Char,Bullets Char,CORE-1.1.1 Char,Dot pt Char,Heading 2_sj Char,List Paragraph (numbered (a)) Char,List Paragraph1 Char,List Paragraph11 Char,Numbered Para 1 Char,Proposal Bullet List Char,Report Para Char,TOC style Char"/>
    <w:link w:val="ListParagraph"/>
    <w:uiPriority w:val="34"/>
    <w:qFormat/>
    <w:locked/>
    <w:rsid w:val="00303228"/>
    <w:rPr>
      <w:sz w:val="22"/>
      <w:szCs w:val="22"/>
      <w:lang w:val="en-GB" w:eastAsia="en-US"/>
    </w:rPr>
  </w:style>
  <w:style w:type="paragraph" w:styleId="Caption">
    <w:name w:val="caption"/>
    <w:basedOn w:val="Normal"/>
    <w:next w:val="Normal"/>
    <w:uiPriority w:val="99"/>
    <w:unhideWhenUsed/>
    <w:qFormat/>
    <w:rsid w:val="00AD3664"/>
    <w:pPr>
      <w:spacing w:after="200"/>
    </w:pPr>
    <w:rPr>
      <w:i/>
      <w:iCs/>
      <w:color w:val="1F497D" w:themeColor="text2"/>
      <w:sz w:val="18"/>
      <w:szCs w:val="18"/>
    </w:rPr>
  </w:style>
  <w:style w:type="paragraph" w:customStyle="1" w:styleId="subhead">
    <w:name w:val="subhead"/>
    <w:basedOn w:val="Normal"/>
    <w:link w:val="subheadChar"/>
    <w:uiPriority w:val="99"/>
    <w:rsid w:val="00E052D5"/>
    <w:pPr>
      <w:spacing w:before="100" w:beforeAutospacing="1" w:after="100" w:afterAutospacing="1"/>
      <w:jc w:val="left"/>
    </w:pPr>
    <w:rPr>
      <w:rFonts w:ascii="Arial" w:hAnsi="Arial" w:cs="Arial"/>
      <w:b/>
      <w:bCs/>
      <w:sz w:val="24"/>
      <w:szCs w:val="24"/>
      <w:lang w:val="ro-RO" w:eastAsia="ro-RO"/>
    </w:rPr>
  </w:style>
  <w:style w:type="character" w:customStyle="1" w:styleId="subheadChar">
    <w:name w:val="subhead Char"/>
    <w:link w:val="subhead"/>
    <w:uiPriority w:val="99"/>
    <w:locked/>
    <w:rsid w:val="00E052D5"/>
    <w:rPr>
      <w:rFonts w:ascii="Arial" w:hAnsi="Arial" w:cs="Arial"/>
      <w:b/>
      <w:bCs/>
      <w:sz w:val="24"/>
      <w:szCs w:val="24"/>
      <w:lang w:val="ro-RO" w:eastAsia="ro-RO"/>
    </w:rPr>
  </w:style>
  <w:style w:type="paragraph" w:customStyle="1" w:styleId="TableParagraph">
    <w:name w:val="Table Paragraph"/>
    <w:basedOn w:val="Normal"/>
    <w:uiPriority w:val="1"/>
    <w:qFormat/>
    <w:rsid w:val="00914391"/>
    <w:pPr>
      <w:widowControl w:val="0"/>
      <w:autoSpaceDE w:val="0"/>
      <w:autoSpaceDN w:val="0"/>
      <w:adjustRightInd w:val="0"/>
      <w:jc w:val="left"/>
    </w:pPr>
    <w:rPr>
      <w:rFonts w:eastAsiaTheme="minorEastAsia"/>
      <w:sz w:val="24"/>
      <w:szCs w:val="24"/>
      <w:lang w:val="ru-RU" w:eastAsia="ru-RU"/>
      <w14:ligatures w14:val="standardContextual"/>
    </w:rPr>
  </w:style>
  <w:style w:type="character" w:customStyle="1" w:styleId="docblue1">
    <w:name w:val="doc_blue1"/>
    <w:rsid w:val="00646069"/>
    <w:rPr>
      <w:rFonts w:cs="Times New Roman"/>
      <w:color w:val="0000FF"/>
    </w:rPr>
  </w:style>
  <w:style w:type="character" w:customStyle="1" w:styleId="NormalWebChar">
    <w:name w:val="Normal (Web) Char"/>
    <w:link w:val="NormalWeb"/>
    <w:uiPriority w:val="99"/>
    <w:rsid w:val="00BB5450"/>
    <w:rPr>
      <w:sz w:val="22"/>
      <w:szCs w:val="24"/>
      <w:lang w:val="en-GB" w:eastAsia="en-US"/>
    </w:rPr>
  </w:style>
  <w:style w:type="character" w:customStyle="1" w:styleId="PlainTextChar">
    <w:name w:val="Plain Text Char"/>
    <w:basedOn w:val="DefaultParagraphFont"/>
    <w:link w:val="PlainText"/>
    <w:semiHidden/>
    <w:rsid w:val="00D61CC5"/>
    <w:rPr>
      <w:rFonts w:ascii="Courier New" w:hAnsi="Courier New" w:cs="Courier New"/>
      <w:szCs w:val="22"/>
      <w:lang w:val="en-GB" w:eastAsia="en-US"/>
    </w:rPr>
  </w:style>
  <w:style w:type="table" w:styleId="GridTable4-Accent1">
    <w:name w:val="Grid Table 4 Accent 1"/>
    <w:basedOn w:val="TableNormal"/>
    <w:uiPriority w:val="49"/>
    <w:rsid w:val="00CC75BB"/>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C396B"/>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0827">
      <w:bodyDiv w:val="1"/>
      <w:marLeft w:val="0"/>
      <w:marRight w:val="0"/>
      <w:marTop w:val="0"/>
      <w:marBottom w:val="0"/>
      <w:divBdr>
        <w:top w:val="none" w:sz="0" w:space="0" w:color="auto"/>
        <w:left w:val="none" w:sz="0" w:space="0" w:color="auto"/>
        <w:bottom w:val="none" w:sz="0" w:space="0" w:color="auto"/>
        <w:right w:val="none" w:sz="0" w:space="0" w:color="auto"/>
      </w:divBdr>
    </w:div>
    <w:div w:id="278683704">
      <w:bodyDiv w:val="1"/>
      <w:marLeft w:val="0"/>
      <w:marRight w:val="0"/>
      <w:marTop w:val="0"/>
      <w:marBottom w:val="0"/>
      <w:divBdr>
        <w:top w:val="none" w:sz="0" w:space="0" w:color="auto"/>
        <w:left w:val="none" w:sz="0" w:space="0" w:color="auto"/>
        <w:bottom w:val="none" w:sz="0" w:space="0" w:color="auto"/>
        <w:right w:val="none" w:sz="0" w:space="0" w:color="auto"/>
      </w:divBdr>
    </w:div>
    <w:div w:id="321736269">
      <w:bodyDiv w:val="1"/>
      <w:marLeft w:val="0"/>
      <w:marRight w:val="0"/>
      <w:marTop w:val="0"/>
      <w:marBottom w:val="0"/>
      <w:divBdr>
        <w:top w:val="none" w:sz="0" w:space="0" w:color="auto"/>
        <w:left w:val="none" w:sz="0" w:space="0" w:color="auto"/>
        <w:bottom w:val="none" w:sz="0" w:space="0" w:color="auto"/>
        <w:right w:val="none" w:sz="0" w:space="0" w:color="auto"/>
      </w:divBdr>
    </w:div>
    <w:div w:id="344600471">
      <w:bodyDiv w:val="1"/>
      <w:marLeft w:val="0"/>
      <w:marRight w:val="0"/>
      <w:marTop w:val="0"/>
      <w:marBottom w:val="0"/>
      <w:divBdr>
        <w:top w:val="none" w:sz="0" w:space="0" w:color="auto"/>
        <w:left w:val="none" w:sz="0" w:space="0" w:color="auto"/>
        <w:bottom w:val="none" w:sz="0" w:space="0" w:color="auto"/>
        <w:right w:val="none" w:sz="0" w:space="0" w:color="auto"/>
      </w:divBdr>
    </w:div>
    <w:div w:id="589462868">
      <w:bodyDiv w:val="1"/>
      <w:marLeft w:val="0"/>
      <w:marRight w:val="0"/>
      <w:marTop w:val="0"/>
      <w:marBottom w:val="0"/>
      <w:divBdr>
        <w:top w:val="none" w:sz="0" w:space="0" w:color="auto"/>
        <w:left w:val="none" w:sz="0" w:space="0" w:color="auto"/>
        <w:bottom w:val="none" w:sz="0" w:space="0" w:color="auto"/>
        <w:right w:val="none" w:sz="0" w:space="0" w:color="auto"/>
      </w:divBdr>
    </w:div>
    <w:div w:id="667751174">
      <w:bodyDiv w:val="1"/>
      <w:marLeft w:val="0"/>
      <w:marRight w:val="0"/>
      <w:marTop w:val="0"/>
      <w:marBottom w:val="0"/>
      <w:divBdr>
        <w:top w:val="none" w:sz="0" w:space="0" w:color="auto"/>
        <w:left w:val="none" w:sz="0" w:space="0" w:color="auto"/>
        <w:bottom w:val="none" w:sz="0" w:space="0" w:color="auto"/>
        <w:right w:val="none" w:sz="0" w:space="0" w:color="auto"/>
      </w:divBdr>
    </w:div>
    <w:div w:id="705059329">
      <w:bodyDiv w:val="1"/>
      <w:marLeft w:val="0"/>
      <w:marRight w:val="0"/>
      <w:marTop w:val="0"/>
      <w:marBottom w:val="0"/>
      <w:divBdr>
        <w:top w:val="none" w:sz="0" w:space="0" w:color="auto"/>
        <w:left w:val="none" w:sz="0" w:space="0" w:color="auto"/>
        <w:bottom w:val="none" w:sz="0" w:space="0" w:color="auto"/>
        <w:right w:val="none" w:sz="0" w:space="0" w:color="auto"/>
      </w:divBdr>
    </w:div>
    <w:div w:id="787119269">
      <w:bodyDiv w:val="1"/>
      <w:marLeft w:val="0"/>
      <w:marRight w:val="0"/>
      <w:marTop w:val="0"/>
      <w:marBottom w:val="0"/>
      <w:divBdr>
        <w:top w:val="none" w:sz="0" w:space="0" w:color="auto"/>
        <w:left w:val="none" w:sz="0" w:space="0" w:color="auto"/>
        <w:bottom w:val="none" w:sz="0" w:space="0" w:color="auto"/>
        <w:right w:val="none" w:sz="0" w:space="0" w:color="auto"/>
      </w:divBdr>
    </w:div>
    <w:div w:id="897395076">
      <w:bodyDiv w:val="1"/>
      <w:marLeft w:val="0"/>
      <w:marRight w:val="0"/>
      <w:marTop w:val="0"/>
      <w:marBottom w:val="0"/>
      <w:divBdr>
        <w:top w:val="none" w:sz="0" w:space="0" w:color="auto"/>
        <w:left w:val="none" w:sz="0" w:space="0" w:color="auto"/>
        <w:bottom w:val="none" w:sz="0" w:space="0" w:color="auto"/>
        <w:right w:val="none" w:sz="0" w:space="0" w:color="auto"/>
      </w:divBdr>
    </w:div>
    <w:div w:id="1036468284">
      <w:bodyDiv w:val="1"/>
      <w:marLeft w:val="0"/>
      <w:marRight w:val="0"/>
      <w:marTop w:val="0"/>
      <w:marBottom w:val="0"/>
      <w:divBdr>
        <w:top w:val="none" w:sz="0" w:space="0" w:color="auto"/>
        <w:left w:val="none" w:sz="0" w:space="0" w:color="auto"/>
        <w:bottom w:val="none" w:sz="0" w:space="0" w:color="auto"/>
        <w:right w:val="none" w:sz="0" w:space="0" w:color="auto"/>
      </w:divBdr>
    </w:div>
    <w:div w:id="1043552445">
      <w:bodyDiv w:val="1"/>
      <w:marLeft w:val="0"/>
      <w:marRight w:val="0"/>
      <w:marTop w:val="0"/>
      <w:marBottom w:val="0"/>
      <w:divBdr>
        <w:top w:val="none" w:sz="0" w:space="0" w:color="auto"/>
        <w:left w:val="none" w:sz="0" w:space="0" w:color="auto"/>
        <w:bottom w:val="none" w:sz="0" w:space="0" w:color="auto"/>
        <w:right w:val="none" w:sz="0" w:space="0" w:color="auto"/>
      </w:divBdr>
    </w:div>
    <w:div w:id="1078405754">
      <w:bodyDiv w:val="1"/>
      <w:marLeft w:val="0"/>
      <w:marRight w:val="0"/>
      <w:marTop w:val="0"/>
      <w:marBottom w:val="0"/>
      <w:divBdr>
        <w:top w:val="none" w:sz="0" w:space="0" w:color="auto"/>
        <w:left w:val="none" w:sz="0" w:space="0" w:color="auto"/>
        <w:bottom w:val="none" w:sz="0" w:space="0" w:color="auto"/>
        <w:right w:val="none" w:sz="0" w:space="0" w:color="auto"/>
      </w:divBdr>
    </w:div>
    <w:div w:id="1096167142">
      <w:bodyDiv w:val="1"/>
      <w:marLeft w:val="0"/>
      <w:marRight w:val="0"/>
      <w:marTop w:val="0"/>
      <w:marBottom w:val="0"/>
      <w:divBdr>
        <w:top w:val="none" w:sz="0" w:space="0" w:color="auto"/>
        <w:left w:val="none" w:sz="0" w:space="0" w:color="auto"/>
        <w:bottom w:val="none" w:sz="0" w:space="0" w:color="auto"/>
        <w:right w:val="none" w:sz="0" w:space="0" w:color="auto"/>
      </w:divBdr>
    </w:div>
    <w:div w:id="1162696603">
      <w:bodyDiv w:val="1"/>
      <w:marLeft w:val="0"/>
      <w:marRight w:val="0"/>
      <w:marTop w:val="0"/>
      <w:marBottom w:val="0"/>
      <w:divBdr>
        <w:top w:val="none" w:sz="0" w:space="0" w:color="auto"/>
        <w:left w:val="none" w:sz="0" w:space="0" w:color="auto"/>
        <w:bottom w:val="none" w:sz="0" w:space="0" w:color="auto"/>
        <w:right w:val="none" w:sz="0" w:space="0" w:color="auto"/>
      </w:divBdr>
    </w:div>
    <w:div w:id="1268535969">
      <w:bodyDiv w:val="1"/>
      <w:marLeft w:val="0"/>
      <w:marRight w:val="0"/>
      <w:marTop w:val="0"/>
      <w:marBottom w:val="0"/>
      <w:divBdr>
        <w:top w:val="none" w:sz="0" w:space="0" w:color="auto"/>
        <w:left w:val="none" w:sz="0" w:space="0" w:color="auto"/>
        <w:bottom w:val="none" w:sz="0" w:space="0" w:color="auto"/>
        <w:right w:val="none" w:sz="0" w:space="0" w:color="auto"/>
      </w:divBdr>
    </w:div>
    <w:div w:id="1302884925">
      <w:bodyDiv w:val="1"/>
      <w:marLeft w:val="0"/>
      <w:marRight w:val="0"/>
      <w:marTop w:val="0"/>
      <w:marBottom w:val="0"/>
      <w:divBdr>
        <w:top w:val="none" w:sz="0" w:space="0" w:color="auto"/>
        <w:left w:val="none" w:sz="0" w:space="0" w:color="auto"/>
        <w:bottom w:val="none" w:sz="0" w:space="0" w:color="auto"/>
        <w:right w:val="none" w:sz="0" w:space="0" w:color="auto"/>
      </w:divBdr>
    </w:div>
    <w:div w:id="1353384210">
      <w:bodyDiv w:val="1"/>
      <w:marLeft w:val="0"/>
      <w:marRight w:val="0"/>
      <w:marTop w:val="0"/>
      <w:marBottom w:val="0"/>
      <w:divBdr>
        <w:top w:val="none" w:sz="0" w:space="0" w:color="auto"/>
        <w:left w:val="none" w:sz="0" w:space="0" w:color="auto"/>
        <w:bottom w:val="none" w:sz="0" w:space="0" w:color="auto"/>
        <w:right w:val="none" w:sz="0" w:space="0" w:color="auto"/>
      </w:divBdr>
    </w:div>
    <w:div w:id="1387799044">
      <w:bodyDiv w:val="1"/>
      <w:marLeft w:val="0"/>
      <w:marRight w:val="0"/>
      <w:marTop w:val="0"/>
      <w:marBottom w:val="0"/>
      <w:divBdr>
        <w:top w:val="none" w:sz="0" w:space="0" w:color="auto"/>
        <w:left w:val="none" w:sz="0" w:space="0" w:color="auto"/>
        <w:bottom w:val="none" w:sz="0" w:space="0" w:color="auto"/>
        <w:right w:val="none" w:sz="0" w:space="0" w:color="auto"/>
      </w:divBdr>
    </w:div>
    <w:div w:id="1418357323">
      <w:bodyDiv w:val="1"/>
      <w:marLeft w:val="0"/>
      <w:marRight w:val="0"/>
      <w:marTop w:val="0"/>
      <w:marBottom w:val="0"/>
      <w:divBdr>
        <w:top w:val="none" w:sz="0" w:space="0" w:color="auto"/>
        <w:left w:val="none" w:sz="0" w:space="0" w:color="auto"/>
        <w:bottom w:val="none" w:sz="0" w:space="0" w:color="auto"/>
        <w:right w:val="none" w:sz="0" w:space="0" w:color="auto"/>
      </w:divBdr>
    </w:div>
    <w:div w:id="1572960141">
      <w:bodyDiv w:val="1"/>
      <w:marLeft w:val="0"/>
      <w:marRight w:val="0"/>
      <w:marTop w:val="0"/>
      <w:marBottom w:val="0"/>
      <w:divBdr>
        <w:top w:val="none" w:sz="0" w:space="0" w:color="auto"/>
        <w:left w:val="none" w:sz="0" w:space="0" w:color="auto"/>
        <w:bottom w:val="none" w:sz="0" w:space="0" w:color="auto"/>
        <w:right w:val="none" w:sz="0" w:space="0" w:color="auto"/>
      </w:divBdr>
    </w:div>
    <w:div w:id="1588535201">
      <w:bodyDiv w:val="1"/>
      <w:marLeft w:val="0"/>
      <w:marRight w:val="0"/>
      <w:marTop w:val="0"/>
      <w:marBottom w:val="0"/>
      <w:divBdr>
        <w:top w:val="none" w:sz="0" w:space="0" w:color="auto"/>
        <w:left w:val="none" w:sz="0" w:space="0" w:color="auto"/>
        <w:bottom w:val="none" w:sz="0" w:space="0" w:color="auto"/>
        <w:right w:val="none" w:sz="0" w:space="0" w:color="auto"/>
      </w:divBdr>
    </w:div>
    <w:div w:id="1790735867">
      <w:bodyDiv w:val="1"/>
      <w:marLeft w:val="0"/>
      <w:marRight w:val="0"/>
      <w:marTop w:val="0"/>
      <w:marBottom w:val="0"/>
      <w:divBdr>
        <w:top w:val="none" w:sz="0" w:space="0" w:color="auto"/>
        <w:left w:val="none" w:sz="0" w:space="0" w:color="auto"/>
        <w:bottom w:val="none" w:sz="0" w:space="0" w:color="auto"/>
        <w:right w:val="none" w:sz="0" w:space="0" w:color="auto"/>
      </w:divBdr>
    </w:div>
    <w:div w:id="1810516161">
      <w:bodyDiv w:val="1"/>
      <w:marLeft w:val="0"/>
      <w:marRight w:val="0"/>
      <w:marTop w:val="0"/>
      <w:marBottom w:val="0"/>
      <w:divBdr>
        <w:top w:val="none" w:sz="0" w:space="0" w:color="auto"/>
        <w:left w:val="none" w:sz="0" w:space="0" w:color="auto"/>
        <w:bottom w:val="none" w:sz="0" w:space="0" w:color="auto"/>
        <w:right w:val="none" w:sz="0" w:space="0" w:color="auto"/>
      </w:divBdr>
    </w:div>
    <w:div w:id="1874225738">
      <w:bodyDiv w:val="1"/>
      <w:marLeft w:val="0"/>
      <w:marRight w:val="0"/>
      <w:marTop w:val="0"/>
      <w:marBottom w:val="0"/>
      <w:divBdr>
        <w:top w:val="none" w:sz="0" w:space="0" w:color="auto"/>
        <w:left w:val="none" w:sz="0" w:space="0" w:color="auto"/>
        <w:bottom w:val="none" w:sz="0" w:space="0" w:color="auto"/>
        <w:right w:val="none" w:sz="0" w:space="0" w:color="auto"/>
      </w:divBdr>
      <w:divsChild>
        <w:div w:id="547837370">
          <w:marLeft w:val="0"/>
          <w:marRight w:val="0"/>
          <w:marTop w:val="0"/>
          <w:marBottom w:val="600"/>
          <w:divBdr>
            <w:top w:val="none" w:sz="0" w:space="0" w:color="auto"/>
            <w:left w:val="none" w:sz="0" w:space="0" w:color="auto"/>
            <w:bottom w:val="none" w:sz="0" w:space="0" w:color="auto"/>
            <w:right w:val="none" w:sz="0" w:space="0" w:color="auto"/>
          </w:divBdr>
        </w:div>
      </w:divsChild>
    </w:div>
    <w:div w:id="19594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fficeCountry xmlns="d9cf0e28-81d2-4dc7-8b10-820d80ed680d">B0550 - Georgia - Tbilisi</OfficeCountry>
    <DocumentStatus xmlns="d9cf0e28-81d2-4dc7-8b10-820d80ed680d">Final</DocumentStatus>
    <DocCoverageEndDate xmlns="d9cf0e28-81d2-4dc7-8b10-820d80ed680d">2024-12-31T05:00:00+00:00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HPMP -II 2022-2024 report</FileNameDescription>
    <ProjectNumber xmlns="d9cf0e28-81d2-4dc7-8b10-820d80ed680d">00104411</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UNDP-GEO</OperatingUnit>
    <lcf76f155ced4ddcb4097134ff3c332f xmlns="d9cf0e28-81d2-4dc7-8b10-820d80ed680d">
      <Terms xmlns="http://schemas.microsoft.com/office/infopath/2007/PartnerControls"/>
    </lcf76f155ced4ddcb4097134ff3c332f>
    <FocusArea xmlns="d9cf0e28-81d2-4dc7-8b10-820d80ed680d">Environment and Energy</FocusArea>
    <DocCoverageStartDate xmlns="d9cf0e28-81d2-4dc7-8b10-820d80ed680d">2022-01-01T05:00:00+00:00</DocCoverageStartDate>
    <FileClassificationMode xmlns="d9cf0e28-81d2-4dc7-8b10-820d80ed680d">Public</FileClassificationMode>
    <OutputNumber xmlns="d9cf0e28-81d2-4dc7-8b10-820d80ed680d">00130228</Output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C6016-5EC3-4D2D-BA51-36DF3A709D13}"/>
</file>

<file path=customXml/itemProps2.xml><?xml version="1.0" encoding="utf-8"?>
<ds:datastoreItem xmlns:ds="http://schemas.openxmlformats.org/officeDocument/2006/customXml" ds:itemID="{93747B81-7A2D-4DB6-92B7-3F6AEFBAE24A}">
  <ds:schemaRefs>
    <ds:schemaRef ds:uri="http://schemas.microsoft.com/office/2006/metadata/properties"/>
    <ds:schemaRef ds:uri="e6143881-1a2e-43a3-a5ae-f5514779ac6a"/>
  </ds:schemaRefs>
</ds:datastoreItem>
</file>

<file path=customXml/itemProps3.xml><?xml version="1.0" encoding="utf-8"?>
<ds:datastoreItem xmlns:ds="http://schemas.openxmlformats.org/officeDocument/2006/customXml" ds:itemID="{2A57BACF-FD14-4E22-8E4B-C09268FE6F27}">
  <ds:schemaRefs>
    <ds:schemaRef ds:uri="http://schemas.microsoft.com/sharepoint/v3/contenttype/forms"/>
  </ds:schemaRefs>
</ds:datastoreItem>
</file>

<file path=customXml/itemProps4.xml><?xml version="1.0" encoding="utf-8"?>
<ds:datastoreItem xmlns:ds="http://schemas.openxmlformats.org/officeDocument/2006/customXml" ds:itemID="{6C10B5F4-FCFE-4D28-93DF-5FDCB9A5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36</Pages>
  <Words>13592</Words>
  <Characters>77475</Characters>
  <Application>Microsoft Office Word</Application>
  <DocSecurity>0</DocSecurity>
  <Lines>645</Lines>
  <Paragraphs>181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Guide for the presentation of tranches of HPMPs (Updated, February 2020)</vt:lpstr>
      <vt:lpstr>Guide for the presentation of tranches of HPMPs (Updated, February 2020)</vt:lpstr>
    </vt:vector>
  </TitlesOfParts>
  <Company/>
  <LinksUpToDate>false</LinksUpToDate>
  <CharactersWithSpaces>90886</CharactersWithSpaces>
  <SharedDoc>false</SharedDoc>
  <HLinks>
    <vt:vector size="12" baseType="variant">
      <vt:variant>
        <vt:i4>6422545</vt:i4>
      </vt:variant>
      <vt:variant>
        <vt:i4>3</vt:i4>
      </vt:variant>
      <vt:variant>
        <vt:i4>0</vt:i4>
      </vt:variant>
      <vt:variant>
        <vt:i4>5</vt:i4>
      </vt:variant>
      <vt:variant>
        <vt:lpwstr>http://ozone.unep.org/Ratification_status/</vt:lpwstr>
      </vt:variant>
      <vt:variant>
        <vt:lpwstr/>
      </vt:variant>
      <vt:variant>
        <vt:i4>6881316</vt:i4>
      </vt:variant>
      <vt:variant>
        <vt:i4>0</vt:i4>
      </vt:variant>
      <vt:variant>
        <vt:i4>0</vt:i4>
      </vt:variant>
      <vt:variant>
        <vt:i4>5</vt:i4>
      </vt:variant>
      <vt:variant>
        <vt:lpwstr>http://ozone.unep.org/Data_Reporting/Data_Access/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HPMP -II 2022-2024 report</dc:title>
  <dc:subject/>
  <dc:creator>Martine Chery</dc:creator>
  <cp:lastModifiedBy>Lali Tevzadze</cp:lastModifiedBy>
  <cp:revision>13</cp:revision>
  <cp:lastPrinted>2024-03-05T09:48:00Z</cp:lastPrinted>
  <dcterms:created xsi:type="dcterms:W3CDTF">2024-09-24T12:51:00Z</dcterms:created>
  <dcterms:modified xsi:type="dcterms:W3CDTF">2025-09-03T12:43:00Z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MLF/IACM.2019/2/15</vt:lpwstr>
  </property>
  <property fmtid="{D5CDD505-2E9C-101B-9397-08002B2CF9AE}" pid="3" name="Revision date">
    <vt:lpwstr>16/9/2019</vt:lpwstr>
  </property>
  <property fmtid="{D5CDD505-2E9C-101B-9397-08002B2CF9AE}" pid="4" name="ContentTypeId">
    <vt:lpwstr>0x010100155F732436BD414ABE4F9007290F88BC</vt:lpwstr>
  </property>
</Properties>
</file>